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F05" w:rsidRDefault="002764A0">
      <w:pPr>
        <w:shd w:val="clear" w:color="auto" w:fill="FFFFFF"/>
        <w:spacing w:after="0" w:line="240" w:lineRule="auto"/>
        <w:jc w:val="both"/>
        <w:outlineLvl w:val="0"/>
        <w:rPr>
          <w:rFonts w:ascii="Cambria" w:hAnsi="Cambria"/>
          <w:sz w:val="20"/>
          <w:szCs w:val="20"/>
        </w:rPr>
      </w:pPr>
      <w:r>
        <w:rPr>
          <w:rFonts w:ascii="Cambria" w:eastAsia="Times New Roman" w:hAnsi="Cambria" w:cs="Times New Roman"/>
          <w:color w:val="000000"/>
          <w:kern w:val="2"/>
          <w:sz w:val="20"/>
          <w:szCs w:val="20"/>
          <w:lang w:eastAsia="it-IT"/>
        </w:rPr>
        <w:t xml:space="preserve">INDICATORE DEI TEMPI MEDI </w:t>
      </w:r>
      <w:proofErr w:type="spellStart"/>
      <w:r>
        <w:rPr>
          <w:rFonts w:ascii="Cambria" w:eastAsia="Times New Roman" w:hAnsi="Cambria" w:cs="Times New Roman"/>
          <w:color w:val="000000"/>
          <w:kern w:val="2"/>
          <w:sz w:val="20"/>
          <w:szCs w:val="20"/>
          <w:lang w:eastAsia="it-IT"/>
        </w:rPr>
        <w:t>DI</w:t>
      </w:r>
      <w:proofErr w:type="spellEnd"/>
      <w:r>
        <w:rPr>
          <w:rFonts w:ascii="Cambria" w:eastAsia="Times New Roman" w:hAnsi="Cambria" w:cs="Times New Roman"/>
          <w:color w:val="000000"/>
          <w:kern w:val="2"/>
          <w:sz w:val="20"/>
          <w:szCs w:val="20"/>
          <w:lang w:eastAsia="it-IT"/>
        </w:rPr>
        <w:t xml:space="preserve"> PAGAMENTO RELATIVI AGLI ACQUISTI </w:t>
      </w:r>
      <w:proofErr w:type="spellStart"/>
      <w:r>
        <w:rPr>
          <w:rFonts w:ascii="Cambria" w:eastAsia="Times New Roman" w:hAnsi="Cambria" w:cs="Times New Roman"/>
          <w:color w:val="000000"/>
          <w:kern w:val="2"/>
          <w:sz w:val="20"/>
          <w:szCs w:val="20"/>
          <w:lang w:eastAsia="it-IT"/>
        </w:rPr>
        <w:t>DI</w:t>
      </w:r>
      <w:proofErr w:type="spellEnd"/>
      <w:r>
        <w:rPr>
          <w:rFonts w:ascii="Cambria" w:eastAsia="Times New Roman" w:hAnsi="Cambria" w:cs="Times New Roman"/>
          <w:color w:val="000000"/>
          <w:kern w:val="2"/>
          <w:sz w:val="20"/>
          <w:szCs w:val="20"/>
          <w:lang w:eastAsia="it-IT"/>
        </w:rPr>
        <w:t xml:space="preserve"> BENI, SERVIZI, PRESTAZIONI PROFESSIONALI E FORNITURE</w:t>
      </w:r>
    </w:p>
    <w:p w:rsidR="00707F05" w:rsidRDefault="00707F05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it-IT"/>
        </w:rPr>
      </w:pPr>
    </w:p>
    <w:p w:rsidR="00707F05" w:rsidRDefault="002764A0">
      <w:pPr>
        <w:shd w:val="clear" w:color="auto" w:fill="FFFFFF"/>
        <w:spacing w:after="0" w:line="240" w:lineRule="auto"/>
        <w:jc w:val="center"/>
        <w:rPr>
          <w:rFonts w:ascii="Titillium Web" w:eastAsia="Times New Roman" w:hAnsi="Titillium Web" w:cs="Times New Roman"/>
          <w:color w:val="000000"/>
          <w:sz w:val="17"/>
          <w:szCs w:val="17"/>
          <w:lang w:eastAsia="it-IT"/>
        </w:rPr>
      </w:pPr>
      <w:r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it-IT"/>
        </w:rPr>
        <w:t>VALORI ANNUALI</w:t>
      </w:r>
    </w:p>
    <w:p w:rsidR="00707F05" w:rsidRDefault="002764A0">
      <w:pPr>
        <w:shd w:val="clear" w:color="auto" w:fill="FFFFFF"/>
        <w:spacing w:after="0" w:line="240" w:lineRule="auto"/>
        <w:jc w:val="center"/>
        <w:rPr>
          <w:rFonts w:ascii="Titillium Web" w:eastAsia="Times New Roman" w:hAnsi="Titillium Web" w:cs="Times New Roman"/>
          <w:color w:val="000000"/>
          <w:sz w:val="17"/>
          <w:szCs w:val="17"/>
          <w:lang w:eastAsia="it-IT"/>
        </w:rPr>
      </w:pPr>
      <w:r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it-IT"/>
        </w:rPr>
        <w:t>Riferimenti normativi:</w:t>
      </w:r>
    </w:p>
    <w:p w:rsidR="00707F05" w:rsidRDefault="00707F05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it-IT"/>
        </w:rPr>
      </w:pPr>
    </w:p>
    <w:p w:rsidR="00707F05" w:rsidRDefault="002764A0">
      <w:pPr>
        <w:shd w:val="clear" w:color="auto" w:fill="FFFFFF"/>
        <w:spacing w:after="0" w:line="240" w:lineRule="auto"/>
        <w:rPr>
          <w:rFonts w:ascii="Titillium Web" w:eastAsia="Times New Roman" w:hAnsi="Titillium Web" w:cs="Times New Roman"/>
          <w:b/>
          <w:bCs/>
          <w:color w:val="000000"/>
          <w:sz w:val="17"/>
          <w:lang w:eastAsia="it-IT"/>
        </w:rPr>
      </w:pPr>
      <w:proofErr w:type="spellStart"/>
      <w:r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it-IT"/>
        </w:rPr>
        <w:t>D.Lgs.vo</w:t>
      </w:r>
      <w:proofErr w:type="spellEnd"/>
      <w:r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it-IT"/>
        </w:rPr>
        <w:t xml:space="preserve"> n. 33/2013:</w:t>
      </w:r>
    </w:p>
    <w:p w:rsidR="00707F05" w:rsidRDefault="002764A0">
      <w:pPr>
        <w:shd w:val="clear" w:color="auto" w:fill="FFFFFF"/>
        <w:spacing w:after="0" w:line="240" w:lineRule="auto"/>
        <w:jc w:val="both"/>
        <w:rPr>
          <w:rFonts w:ascii="Titillium Web" w:eastAsia="Times New Roman" w:hAnsi="Titillium Web" w:cs="Times New Roman"/>
          <w:i/>
          <w:iCs/>
          <w:color w:val="000000"/>
          <w:sz w:val="17"/>
          <w:lang w:eastAsia="it-IT"/>
        </w:rPr>
      </w:pPr>
      <w:r>
        <w:rPr>
          <w:rFonts w:ascii="Cambria" w:eastAsia="Times New Roman" w:hAnsi="Cambria" w:cs="Times New Roman"/>
          <w:color w:val="000000"/>
          <w:sz w:val="20"/>
          <w:szCs w:val="20"/>
          <w:lang w:eastAsia="it-IT"/>
        </w:rPr>
        <w:br/>
        <w:t>Art. 33.</w:t>
      </w:r>
      <w:r>
        <w:rPr>
          <w:rFonts w:ascii="Cambria" w:eastAsia="Times New Roman" w:hAnsi="Cambria" w:cs="Times New Roman"/>
          <w:i/>
          <w:iCs/>
          <w:color w:val="000000"/>
          <w:sz w:val="20"/>
          <w:szCs w:val="20"/>
          <w:lang w:eastAsia="it-IT"/>
        </w:rPr>
        <w:t> Obblighi di pubblicazione concernenti i tempi di pagamento dell’amministrazione.</w:t>
      </w:r>
    </w:p>
    <w:p w:rsidR="00707F05" w:rsidRDefault="002764A0">
      <w:pPr>
        <w:shd w:val="clear" w:color="auto" w:fill="FFFFFF"/>
        <w:spacing w:after="0" w:line="240" w:lineRule="auto"/>
        <w:jc w:val="both"/>
        <w:rPr>
          <w:rFonts w:ascii="Titillium Web" w:eastAsia="Times New Roman" w:hAnsi="Titillium Web" w:cs="Times New Roman"/>
          <w:color w:val="000000"/>
          <w:sz w:val="17"/>
          <w:szCs w:val="17"/>
          <w:lang w:eastAsia="it-IT"/>
        </w:rPr>
      </w:pPr>
      <w:r>
        <w:rPr>
          <w:rFonts w:ascii="Cambria" w:eastAsia="Times New Roman" w:hAnsi="Cambria" w:cs="Times New Roman"/>
          <w:i/>
          <w:iCs/>
          <w:color w:val="000000"/>
          <w:sz w:val="20"/>
          <w:szCs w:val="20"/>
          <w:lang w:eastAsia="it-IT"/>
        </w:rPr>
        <w:t>1. Le pubbliche amministrazioni pubblicano, con cadenza annuale, un indicatore dei propri tempi medi di pagamento relativi agli acquisti di beni, servizi e forniture, denominato: «indicatore di tempestività dei pagamenti».</w:t>
      </w:r>
    </w:p>
    <w:p w:rsidR="00707F05" w:rsidRDefault="00707F05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it-IT"/>
        </w:rPr>
      </w:pPr>
    </w:p>
    <w:p w:rsidR="00707F05" w:rsidRDefault="002764A0">
      <w:pPr>
        <w:shd w:val="clear" w:color="auto" w:fill="FFFFFF"/>
        <w:spacing w:after="0" w:line="240" w:lineRule="auto"/>
        <w:jc w:val="both"/>
        <w:rPr>
          <w:rFonts w:ascii="Titillium Web" w:eastAsia="Times New Roman" w:hAnsi="Titillium Web" w:cs="Times New Roman"/>
          <w:b/>
          <w:bCs/>
          <w:color w:val="000000"/>
          <w:sz w:val="17"/>
          <w:lang w:eastAsia="it-IT"/>
        </w:rPr>
      </w:pPr>
      <w:r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it-IT"/>
        </w:rPr>
        <w:t>art. 10 del DPCM del 22/9/2014</w:t>
      </w:r>
    </w:p>
    <w:p w:rsidR="00707F05" w:rsidRDefault="002764A0">
      <w:pPr>
        <w:shd w:val="clear" w:color="auto" w:fill="FFFFFF"/>
        <w:spacing w:after="0" w:line="240" w:lineRule="auto"/>
        <w:jc w:val="both"/>
        <w:rPr>
          <w:rFonts w:ascii="Titillium Web" w:eastAsia="Times New Roman" w:hAnsi="Titillium Web" w:cs="Times New Roman"/>
          <w:i/>
          <w:iCs/>
          <w:color w:val="000000"/>
          <w:sz w:val="17"/>
          <w:lang w:eastAsia="it-IT"/>
        </w:rPr>
      </w:pPr>
      <w:r>
        <w:rPr>
          <w:rFonts w:ascii="Cambria" w:eastAsia="Times New Roman" w:hAnsi="Cambria" w:cs="Times New Roman"/>
          <w:color w:val="000000"/>
          <w:sz w:val="20"/>
          <w:szCs w:val="20"/>
          <w:lang w:eastAsia="it-IT"/>
        </w:rPr>
        <w:br/>
        <w:t>1.</w:t>
      </w:r>
      <w:r>
        <w:rPr>
          <w:rFonts w:ascii="Cambria" w:eastAsia="Times New Roman" w:hAnsi="Cambria" w:cs="Times New Roman"/>
          <w:i/>
          <w:iCs/>
          <w:color w:val="000000"/>
          <w:sz w:val="20"/>
          <w:szCs w:val="20"/>
          <w:lang w:eastAsia="it-IT"/>
        </w:rPr>
        <w:t> Le amministrazioni pubblicano l’</w:t>
      </w:r>
      <w:r>
        <w:rPr>
          <w:rFonts w:ascii="Cambria" w:eastAsia="Times New Roman" w:hAnsi="Cambria" w:cs="Times New Roman"/>
          <w:b/>
          <w:bCs/>
          <w:i/>
          <w:iCs/>
          <w:color w:val="000000"/>
          <w:sz w:val="20"/>
          <w:szCs w:val="20"/>
          <w:lang w:eastAsia="it-IT"/>
        </w:rPr>
        <w:t>indicatore annuale di tempestività dei pagamenti</w:t>
      </w:r>
      <w:r>
        <w:rPr>
          <w:rFonts w:ascii="Cambria" w:eastAsia="Times New Roman" w:hAnsi="Cambria" w:cs="Times New Roman"/>
          <w:i/>
          <w:iCs/>
          <w:color w:val="000000"/>
          <w:sz w:val="20"/>
          <w:szCs w:val="20"/>
          <w:lang w:eastAsia="it-IT"/>
        </w:rPr>
        <w:t> di cui all’art. 9, comma 1, del presente decreto entro il 31 gennaio dell’anno successivo a quello di riferimento, secondo le modalità di cui al comma 3 del presente articolo.</w:t>
      </w:r>
    </w:p>
    <w:p w:rsidR="00707F05" w:rsidRDefault="002764A0">
      <w:pPr>
        <w:spacing w:after="0" w:line="240" w:lineRule="auto"/>
        <w:jc w:val="both"/>
        <w:rPr>
          <w:rFonts w:ascii="Titillium Web" w:eastAsia="Times New Roman" w:hAnsi="Titillium Web" w:cs="Times New Roman"/>
          <w:color w:val="000000"/>
          <w:sz w:val="17"/>
          <w:szCs w:val="17"/>
          <w:lang w:eastAsia="it-IT"/>
        </w:rPr>
      </w:pPr>
      <w:r>
        <w:rPr>
          <w:rFonts w:ascii="Cambria" w:eastAsia="Times New Roman" w:hAnsi="Cambria" w:cs="Times New Roman"/>
          <w:color w:val="000000"/>
          <w:sz w:val="20"/>
          <w:szCs w:val="20"/>
          <w:lang w:eastAsia="it-IT"/>
        </w:rPr>
        <w:br/>
        <w:t>2. A decorrere dall’anno 2015, con cadenza trimestrale, le amministrazioni pubblicano l’</w:t>
      </w:r>
      <w:r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it-IT"/>
        </w:rPr>
        <w:t>indicatore trimestrale di tempestività dei pagamenti</w:t>
      </w:r>
      <w:r>
        <w:rPr>
          <w:rFonts w:ascii="Cambria" w:eastAsia="Times New Roman" w:hAnsi="Cambria" w:cs="Times New Roman"/>
          <w:color w:val="000000"/>
          <w:sz w:val="20"/>
          <w:szCs w:val="20"/>
          <w:lang w:eastAsia="it-IT"/>
        </w:rPr>
        <w:t> di cui all’art. 9, comma 2, del presente decreto entro il trentesimo giorno dalla conclusione del trimestre cui si riferisce, secondo le modalità di cui al comma 3 del presente articolo.</w:t>
      </w:r>
    </w:p>
    <w:p w:rsidR="00707F05" w:rsidRDefault="00707F05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0"/>
          <w:szCs w:val="20"/>
          <w:lang w:eastAsia="it-IT"/>
        </w:rPr>
      </w:pPr>
    </w:p>
    <w:p w:rsidR="00707F05" w:rsidRDefault="00707F05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0"/>
          <w:szCs w:val="20"/>
          <w:lang w:eastAsia="it-IT"/>
        </w:rPr>
      </w:pPr>
    </w:p>
    <w:p w:rsidR="00707F05" w:rsidRDefault="002764A0">
      <w:pPr>
        <w:spacing w:after="0" w:line="240" w:lineRule="auto"/>
        <w:jc w:val="center"/>
        <w:rPr>
          <w:rFonts w:ascii="Cambria" w:hAnsi="Cambria"/>
          <w:sz w:val="20"/>
          <w:szCs w:val="20"/>
        </w:rPr>
      </w:pPr>
      <w:r>
        <w:rPr>
          <w:rFonts w:ascii="Cambria" w:eastAsia="Times New Roman" w:hAnsi="Cambria" w:cs="Times New Roman"/>
          <w:b/>
          <w:color w:val="000000"/>
          <w:sz w:val="20"/>
          <w:szCs w:val="20"/>
          <w:lang w:eastAsia="it-IT"/>
        </w:rPr>
        <w:t>APRILE - GIUNGO 2024</w:t>
      </w:r>
    </w:p>
    <w:p w:rsidR="00707F05" w:rsidRDefault="00707F05">
      <w:pPr>
        <w:spacing w:after="0" w:line="240" w:lineRule="auto"/>
        <w:jc w:val="center"/>
        <w:rPr>
          <w:rFonts w:eastAsia="Times New Roman" w:cs="Times New Roman"/>
          <w:b/>
          <w:color w:val="000000"/>
          <w:lang w:eastAsia="it-IT"/>
        </w:rPr>
      </w:pPr>
    </w:p>
    <w:tbl>
      <w:tblPr>
        <w:tblW w:w="9750" w:type="dxa"/>
        <w:tblCellMar>
          <w:top w:w="28" w:type="dxa"/>
          <w:left w:w="27" w:type="dxa"/>
          <w:bottom w:w="28" w:type="dxa"/>
          <w:right w:w="28" w:type="dxa"/>
        </w:tblCellMar>
        <w:tblLook w:val="04A0"/>
      </w:tblPr>
      <w:tblGrid>
        <w:gridCol w:w="6580"/>
        <w:gridCol w:w="3170"/>
      </w:tblGrid>
      <w:tr w:rsidR="00707F05">
        <w:trPr>
          <w:trHeight w:val="671"/>
        </w:trPr>
        <w:tc>
          <w:tcPr>
            <w:tcW w:w="6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07F05" w:rsidRDefault="002764A0">
            <w:pPr>
              <w:pStyle w:val="Contenutotabella"/>
              <w:jc w:val="center"/>
              <w:rPr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TOTALE RITARDO PONDERATO (DIFF. TRA  DATA PAGAMENTO FATTURA E SCADENZA DELLA STESSA MOLTIPLICATO PER IMPORTO LIQUIDATO</w:t>
            </w:r>
          </w:p>
        </w:tc>
        <w:tc>
          <w:tcPr>
            <w:tcW w:w="3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07F05" w:rsidRPr="002764A0" w:rsidRDefault="002764A0" w:rsidP="002764A0">
            <w:pPr>
              <w:pStyle w:val="Contenutotabella"/>
              <w:jc w:val="right"/>
              <w:rPr>
                <w:b/>
                <w:sz w:val="20"/>
                <w:szCs w:val="20"/>
              </w:rPr>
            </w:pPr>
            <w:r w:rsidRPr="002764A0">
              <w:rPr>
                <w:rFonts w:ascii="Cambria" w:hAnsi="Cambria"/>
                <w:b/>
                <w:sz w:val="20"/>
                <w:szCs w:val="20"/>
              </w:rPr>
              <w:t>€ - 9.596.911,66</w:t>
            </w:r>
            <w:r w:rsidRPr="002764A0">
              <w:rPr>
                <w:b/>
                <w:color w:val="000000"/>
                <w:sz w:val="20"/>
                <w:szCs w:val="20"/>
              </w:rPr>
              <w:t xml:space="preserve"> </w:t>
            </w:r>
          </w:p>
          <w:p w:rsidR="00707F05" w:rsidRPr="002764A0" w:rsidRDefault="00707F05">
            <w:pPr>
              <w:jc w:val="right"/>
              <w:rPr>
                <w:rFonts w:ascii="Cambria" w:hAnsi="Cambria"/>
                <w:b/>
              </w:rPr>
            </w:pPr>
          </w:p>
        </w:tc>
      </w:tr>
      <w:tr w:rsidR="00707F05" w:rsidTr="002764A0">
        <w:trPr>
          <w:trHeight w:val="1057"/>
        </w:trPr>
        <w:tc>
          <w:tcPr>
            <w:tcW w:w="6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07F05" w:rsidRDefault="00DB4A58" w:rsidP="00DB4A58">
            <w:pPr>
              <w:pStyle w:val="Contenutotabella"/>
              <w:jc w:val="center"/>
              <w:rPr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TOTALE IMPORTI LIQUIDATI 2</w:t>
            </w:r>
            <w:r w:rsidR="002764A0">
              <w:rPr>
                <w:rFonts w:ascii="Cambria" w:hAnsi="Cambria"/>
                <w:sz w:val="20"/>
                <w:szCs w:val="20"/>
              </w:rPr>
              <w:t xml:space="preserve"> trimestre ANNO 2024</w:t>
            </w:r>
          </w:p>
        </w:tc>
        <w:tc>
          <w:tcPr>
            <w:tcW w:w="3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07F05" w:rsidRPr="002764A0" w:rsidRDefault="002764A0">
            <w:pPr>
              <w:pStyle w:val="Contenutotabella"/>
              <w:jc w:val="right"/>
              <w:rPr>
                <w:b/>
                <w:sz w:val="20"/>
                <w:szCs w:val="20"/>
              </w:rPr>
            </w:pPr>
            <w:r w:rsidRPr="002764A0">
              <w:rPr>
                <w:rFonts w:ascii="Cambria" w:hAnsi="Cambria"/>
                <w:b/>
                <w:sz w:val="20"/>
                <w:szCs w:val="20"/>
              </w:rPr>
              <w:t xml:space="preserve">€  </w:t>
            </w:r>
            <w:r w:rsidRPr="002764A0">
              <w:rPr>
                <w:b/>
                <w:color w:val="000000"/>
                <w:sz w:val="20"/>
                <w:szCs w:val="20"/>
              </w:rPr>
              <w:t xml:space="preserve"> 1.762.368,82 </w:t>
            </w:r>
          </w:p>
          <w:p w:rsidR="00707F05" w:rsidRPr="002764A0" w:rsidRDefault="00707F05">
            <w:pPr>
              <w:jc w:val="right"/>
              <w:rPr>
                <w:rFonts w:ascii="Cambria" w:hAnsi="Cambria"/>
                <w:b/>
              </w:rPr>
            </w:pPr>
          </w:p>
        </w:tc>
      </w:tr>
      <w:tr w:rsidR="00707F05">
        <w:trPr>
          <w:trHeight w:val="671"/>
        </w:trPr>
        <w:tc>
          <w:tcPr>
            <w:tcW w:w="6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07F05" w:rsidRDefault="002764A0">
            <w:pPr>
              <w:pStyle w:val="Contenutotabella"/>
              <w:jc w:val="center"/>
              <w:rPr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INDICE  TEMPESTIVITA' PAGAMENTI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GG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3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07F05" w:rsidRPr="002764A0" w:rsidRDefault="002764A0" w:rsidP="002764A0">
            <w:pPr>
              <w:pStyle w:val="Paragrafoelenco"/>
              <w:numPr>
                <w:ilvl w:val="0"/>
                <w:numId w:val="1"/>
              </w:numPr>
              <w:jc w:val="right"/>
              <w:rPr>
                <w:b/>
                <w:sz w:val="20"/>
                <w:szCs w:val="20"/>
              </w:rPr>
            </w:pPr>
            <w:r w:rsidRPr="002764A0">
              <w:rPr>
                <w:b/>
                <w:sz w:val="20"/>
                <w:szCs w:val="20"/>
              </w:rPr>
              <w:t xml:space="preserve"> 5,45</w:t>
            </w:r>
          </w:p>
          <w:p w:rsidR="00707F05" w:rsidRPr="002764A0" w:rsidRDefault="00707F05">
            <w:pPr>
              <w:jc w:val="right"/>
              <w:rPr>
                <w:rFonts w:ascii="Cambria" w:hAnsi="Cambria"/>
                <w:b/>
              </w:rPr>
            </w:pPr>
          </w:p>
        </w:tc>
      </w:tr>
    </w:tbl>
    <w:p w:rsidR="00707F05" w:rsidRDefault="00707F05">
      <w:pPr>
        <w:spacing w:after="0" w:line="240" w:lineRule="auto"/>
        <w:jc w:val="center"/>
        <w:rPr>
          <w:rFonts w:ascii="Cambria" w:hAnsi="Cambria"/>
          <w:sz w:val="20"/>
          <w:szCs w:val="20"/>
        </w:rPr>
      </w:pPr>
    </w:p>
    <w:p w:rsidR="00707F05" w:rsidRDefault="00707F05">
      <w:pPr>
        <w:spacing w:after="0" w:line="240" w:lineRule="auto"/>
        <w:jc w:val="center"/>
        <w:rPr>
          <w:rFonts w:eastAsia="Times New Roman" w:cs="Times New Roman"/>
          <w:b/>
          <w:color w:val="000000"/>
          <w:lang w:eastAsia="it-IT"/>
        </w:rPr>
      </w:pPr>
    </w:p>
    <w:p w:rsidR="00707F05" w:rsidRDefault="00707F05">
      <w:pPr>
        <w:spacing w:after="0" w:line="240" w:lineRule="auto"/>
        <w:jc w:val="center"/>
        <w:rPr>
          <w:rFonts w:eastAsia="Times New Roman" w:cs="Times New Roman"/>
          <w:b/>
          <w:color w:val="000000"/>
          <w:lang w:eastAsia="it-IT"/>
        </w:rPr>
      </w:pPr>
    </w:p>
    <w:p w:rsidR="00707F05" w:rsidRDefault="00707F05">
      <w:pPr>
        <w:spacing w:after="0" w:line="240" w:lineRule="auto"/>
        <w:jc w:val="center"/>
        <w:rPr>
          <w:rFonts w:ascii="Cambria" w:eastAsia="Times New Roman" w:hAnsi="Cambria" w:cs="Times New Roman"/>
          <w:color w:val="000000"/>
          <w:sz w:val="20"/>
          <w:szCs w:val="20"/>
          <w:lang w:eastAsia="it-IT"/>
        </w:rPr>
      </w:pPr>
    </w:p>
    <w:p w:rsidR="00707F05" w:rsidRDefault="00707F05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0"/>
          <w:szCs w:val="20"/>
          <w:lang w:eastAsia="it-IT"/>
        </w:rPr>
      </w:pPr>
    </w:p>
    <w:p w:rsidR="00707F05" w:rsidRDefault="002764A0">
      <w:pPr>
        <w:spacing w:after="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IL RESPONSABILE DEL SERVIZIO FINANZIARIO</w:t>
      </w:r>
    </w:p>
    <w:p w:rsidR="00707F05" w:rsidRDefault="002764A0"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 xml:space="preserve">Dott.ssa Beatrice Lai </w:t>
      </w:r>
    </w:p>
    <w:sectPr w:rsidR="00707F05" w:rsidSect="00707F05">
      <w:headerReference w:type="default" r:id="rId7"/>
      <w:pgSz w:w="11906" w:h="16838"/>
      <w:pgMar w:top="1417" w:right="1134" w:bottom="1134" w:left="1134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7F05" w:rsidRDefault="00707F05" w:rsidP="00707F05">
      <w:pPr>
        <w:spacing w:after="0" w:line="240" w:lineRule="auto"/>
      </w:pPr>
      <w:r>
        <w:separator/>
      </w:r>
    </w:p>
  </w:endnote>
  <w:endnote w:type="continuationSeparator" w:id="0">
    <w:p w:rsidR="00707F05" w:rsidRDefault="00707F05" w:rsidP="00707F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 Web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Futura Bk">
    <w:altName w:val="Times New Roman"/>
    <w:charset w:val="00"/>
    <w:family w:val="roman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7F05" w:rsidRDefault="00707F05" w:rsidP="00707F05">
      <w:pPr>
        <w:spacing w:after="0" w:line="240" w:lineRule="auto"/>
      </w:pPr>
      <w:r>
        <w:separator/>
      </w:r>
    </w:p>
  </w:footnote>
  <w:footnote w:type="continuationSeparator" w:id="0">
    <w:p w:rsidR="00707F05" w:rsidRDefault="00707F05" w:rsidP="00707F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F05" w:rsidRDefault="002764A0">
    <w:pPr>
      <w:tabs>
        <w:tab w:val="left" w:pos="240"/>
        <w:tab w:val="left" w:pos="390"/>
        <w:tab w:val="center" w:pos="4818"/>
      </w:tabs>
      <w:ind w:firstLine="240"/>
      <w:jc w:val="center"/>
      <w:rPr>
        <w:rFonts w:ascii="Futura Bk" w:hAnsi="Futura Bk"/>
        <w:sz w:val="32"/>
        <w:szCs w:val="40"/>
      </w:rPr>
    </w:pPr>
    <w:r>
      <w:rPr>
        <w:noProof/>
        <w:lang w:eastAsia="it-IT"/>
      </w:rPr>
      <w:drawing>
        <wp:anchor distT="0" distB="0" distL="0" distR="0" simplePos="0" relativeHeight="2" behindDoc="1" locked="0" layoutInCell="1" allowOverlap="1">
          <wp:simplePos x="0" y="0"/>
          <wp:positionH relativeFrom="column">
            <wp:posOffset>-92710</wp:posOffset>
          </wp:positionH>
          <wp:positionV relativeFrom="paragraph">
            <wp:posOffset>-47625</wp:posOffset>
          </wp:positionV>
          <wp:extent cx="514350" cy="685800"/>
          <wp:effectExtent l="0" t="0" r="0" b="0"/>
          <wp:wrapNone/>
          <wp:docPr id="1" name="Immagine 1" descr="stemmasanta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stemmasantant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685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i/>
        <w:color w:val="808080"/>
        <w:sz w:val="52"/>
        <w:szCs w:val="40"/>
      </w:rPr>
      <w:t>C</w:t>
    </w:r>
    <w:r>
      <w:rPr>
        <w:sz w:val="44"/>
        <w:szCs w:val="40"/>
      </w:rPr>
      <w:t>omune</w:t>
    </w:r>
    <w:r>
      <w:rPr>
        <w:sz w:val="32"/>
        <w:szCs w:val="40"/>
      </w:rPr>
      <w:t xml:space="preserve"> </w:t>
    </w:r>
    <w:r>
      <w:rPr>
        <w:sz w:val="44"/>
        <w:szCs w:val="52"/>
      </w:rPr>
      <w:t>di</w:t>
    </w:r>
    <w:r>
      <w:rPr>
        <w:sz w:val="32"/>
        <w:szCs w:val="40"/>
      </w:rPr>
      <w:t xml:space="preserve"> </w:t>
    </w:r>
    <w:r>
      <w:rPr>
        <w:i/>
        <w:color w:val="808080"/>
        <w:sz w:val="52"/>
        <w:szCs w:val="72"/>
      </w:rPr>
      <w:t>S</w:t>
    </w:r>
    <w:r>
      <w:rPr>
        <w:sz w:val="44"/>
        <w:szCs w:val="40"/>
      </w:rPr>
      <w:t>ant’</w:t>
    </w:r>
    <w:r>
      <w:rPr>
        <w:i/>
        <w:color w:val="808080"/>
        <w:sz w:val="52"/>
        <w:szCs w:val="72"/>
      </w:rPr>
      <w:t>A</w:t>
    </w:r>
    <w:r>
      <w:rPr>
        <w:sz w:val="44"/>
        <w:szCs w:val="40"/>
      </w:rPr>
      <w:t>ntioco</w:t>
    </w:r>
    <w:r>
      <w:rPr>
        <w:sz w:val="32"/>
        <w:szCs w:val="40"/>
      </w:rPr>
      <w:tab/>
    </w:r>
  </w:p>
  <w:p w:rsidR="00707F05" w:rsidRDefault="002764A0">
    <w:pPr>
      <w:jc w:val="center"/>
      <w:rPr>
        <w:rFonts w:ascii="Calibri" w:hAnsi="Calibri"/>
        <w:szCs w:val="32"/>
      </w:rPr>
    </w:pPr>
    <w:r>
      <w:rPr>
        <w:i/>
        <w:color w:val="808080"/>
        <w:sz w:val="36"/>
        <w:szCs w:val="32"/>
      </w:rPr>
      <w:t>P</w:t>
    </w:r>
    <w:r>
      <w:rPr>
        <w:szCs w:val="32"/>
      </w:rPr>
      <w:t xml:space="preserve">rovincia del </w:t>
    </w:r>
    <w:r>
      <w:rPr>
        <w:i/>
        <w:color w:val="808080"/>
        <w:sz w:val="36"/>
        <w:szCs w:val="32"/>
      </w:rPr>
      <w:t>S</w:t>
    </w:r>
    <w:r>
      <w:rPr>
        <w:szCs w:val="32"/>
      </w:rPr>
      <w:t xml:space="preserve">ud </w:t>
    </w:r>
    <w:r>
      <w:rPr>
        <w:i/>
        <w:color w:val="808080"/>
        <w:sz w:val="36"/>
        <w:szCs w:val="32"/>
      </w:rPr>
      <w:t>S</w:t>
    </w:r>
    <w:r>
      <w:rPr>
        <w:szCs w:val="32"/>
      </w:rPr>
      <w:t>ardegna</w:t>
    </w:r>
  </w:p>
  <w:p w:rsidR="00707F05" w:rsidRDefault="002764A0">
    <w:pPr>
      <w:spacing w:line="360" w:lineRule="auto"/>
      <w:jc w:val="center"/>
      <w:rPr>
        <w:rFonts w:ascii="Calibri" w:hAnsi="Calibri"/>
        <w:sz w:val="20"/>
        <w:szCs w:val="20"/>
      </w:rPr>
    </w:pPr>
    <w:r>
      <w:rPr>
        <w:sz w:val="20"/>
        <w:szCs w:val="20"/>
      </w:rPr>
      <w:t>_______________________________</w:t>
    </w:r>
  </w:p>
  <w:p w:rsidR="00707F05" w:rsidRDefault="002764A0">
    <w:pPr>
      <w:jc w:val="center"/>
      <w:rPr>
        <w:rFonts w:ascii="Futura Bk" w:hAnsi="Futura Bk"/>
      </w:rPr>
    </w:pPr>
    <w:r>
      <w:rPr>
        <w:rFonts w:ascii="Futura Bk" w:hAnsi="Futura Bk"/>
        <w:sz w:val="28"/>
        <w:szCs w:val="28"/>
      </w:rPr>
      <w:t>S</w:t>
    </w:r>
    <w:r>
      <w:rPr>
        <w:rFonts w:ascii="Futura Bk" w:hAnsi="Futura Bk"/>
      </w:rPr>
      <w:t>ettore finanziario</w:t>
    </w:r>
  </w:p>
  <w:p w:rsidR="00707F05" w:rsidRDefault="00707F0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FA3549"/>
    <w:multiLevelType w:val="hybridMultilevel"/>
    <w:tmpl w:val="3104E4B4"/>
    <w:lvl w:ilvl="0" w:tplc="A1408BD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4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7F05"/>
    <w:rsid w:val="002764A0"/>
    <w:rsid w:val="00707F05"/>
    <w:rsid w:val="009F19AD"/>
    <w:rsid w:val="00B819DC"/>
    <w:rsid w:val="00DB4A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A1E30"/>
    <w:pPr>
      <w:suppressAutoHyphens/>
      <w:spacing w:after="200" w:line="276" w:lineRule="auto"/>
    </w:pPr>
    <w:rPr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1">
    <w:name w:val="Heading 1"/>
    <w:basedOn w:val="Normale"/>
    <w:link w:val="Titolo1Carattere"/>
    <w:uiPriority w:val="9"/>
    <w:qFormat/>
    <w:rsid w:val="0044730E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it-IT"/>
    </w:rPr>
  </w:style>
  <w:style w:type="paragraph" w:customStyle="1" w:styleId="Heading2">
    <w:name w:val="Heading 2"/>
    <w:basedOn w:val="Normale"/>
    <w:link w:val="Titolo2Carattere"/>
    <w:uiPriority w:val="9"/>
    <w:semiHidden/>
    <w:unhideWhenUsed/>
    <w:qFormat/>
    <w:rsid w:val="0044730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1Carattere">
    <w:name w:val="Titolo 1 Carattere"/>
    <w:basedOn w:val="Carpredefinitoparagrafo"/>
    <w:link w:val="Heading1"/>
    <w:uiPriority w:val="9"/>
    <w:qFormat/>
    <w:rsid w:val="0044730E"/>
    <w:rPr>
      <w:rFonts w:ascii="Times New Roman" w:eastAsia="Times New Roman" w:hAnsi="Times New Roman" w:cs="Times New Roman"/>
      <w:b/>
      <w:bCs/>
      <w:kern w:val="2"/>
      <w:sz w:val="48"/>
      <w:szCs w:val="48"/>
      <w:lang w:eastAsia="it-IT"/>
    </w:rPr>
  </w:style>
  <w:style w:type="character" w:customStyle="1" w:styleId="CollegamentoInternet">
    <w:name w:val="Collegamento Internet"/>
    <w:basedOn w:val="Carpredefinitoparagrafo"/>
    <w:uiPriority w:val="99"/>
    <w:semiHidden/>
    <w:unhideWhenUsed/>
    <w:rsid w:val="0044730E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44730E"/>
    <w:rPr>
      <w:b/>
      <w:bCs/>
    </w:rPr>
  </w:style>
  <w:style w:type="character" w:customStyle="1" w:styleId="Enfasi">
    <w:name w:val="Enfasi"/>
    <w:basedOn w:val="Carpredefinitoparagrafo"/>
    <w:uiPriority w:val="20"/>
    <w:qFormat/>
    <w:rsid w:val="0044730E"/>
    <w:rPr>
      <w:i/>
      <w:iCs/>
    </w:rPr>
  </w:style>
  <w:style w:type="character" w:customStyle="1" w:styleId="Titolo2Carattere">
    <w:name w:val="Titolo 2 Carattere"/>
    <w:basedOn w:val="Carpredefinitoparagrafo"/>
    <w:link w:val="Heading2"/>
    <w:uiPriority w:val="9"/>
    <w:semiHidden/>
    <w:qFormat/>
    <w:rsid w:val="0044730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IntestazioneCarattere">
    <w:name w:val="Intestazione Carattere"/>
    <w:basedOn w:val="Carpredefinitoparagrafo"/>
    <w:link w:val="Header"/>
    <w:uiPriority w:val="99"/>
    <w:semiHidden/>
    <w:qFormat/>
    <w:rsid w:val="007A6FB7"/>
  </w:style>
  <w:style w:type="character" w:customStyle="1" w:styleId="PidipaginaCarattere">
    <w:name w:val="Piè di pagina Carattere"/>
    <w:basedOn w:val="Carpredefinitoparagrafo"/>
    <w:link w:val="Footer"/>
    <w:uiPriority w:val="99"/>
    <w:semiHidden/>
    <w:qFormat/>
    <w:rsid w:val="007A6FB7"/>
  </w:style>
  <w:style w:type="paragraph" w:styleId="Titolo">
    <w:name w:val="Title"/>
    <w:basedOn w:val="Normale"/>
    <w:next w:val="Corpodeltesto"/>
    <w:qFormat/>
    <w:rsid w:val="0021607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ltesto">
    <w:name w:val="Body Text"/>
    <w:basedOn w:val="Normale"/>
    <w:rsid w:val="00216079"/>
    <w:pPr>
      <w:spacing w:after="140"/>
    </w:pPr>
  </w:style>
  <w:style w:type="paragraph" w:styleId="Elenco">
    <w:name w:val="List"/>
    <w:basedOn w:val="Corpodeltesto"/>
    <w:rsid w:val="00216079"/>
    <w:rPr>
      <w:rFonts w:cs="Arial"/>
    </w:rPr>
  </w:style>
  <w:style w:type="paragraph" w:customStyle="1" w:styleId="Caption">
    <w:name w:val="Caption"/>
    <w:basedOn w:val="Normale"/>
    <w:qFormat/>
    <w:rsid w:val="00216079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216079"/>
    <w:pPr>
      <w:suppressLineNumbers/>
    </w:pPr>
    <w:rPr>
      <w:rFonts w:cs="Arial"/>
    </w:rPr>
  </w:style>
  <w:style w:type="paragraph" w:styleId="NormaleWeb">
    <w:name w:val="Normal (Web)"/>
    <w:basedOn w:val="Normale"/>
    <w:uiPriority w:val="99"/>
    <w:semiHidden/>
    <w:unhideWhenUsed/>
    <w:qFormat/>
    <w:rsid w:val="0044730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Intestazioneepidipagina">
    <w:name w:val="Intestazione e piè di pagina"/>
    <w:basedOn w:val="Normale"/>
    <w:qFormat/>
    <w:rsid w:val="00216079"/>
  </w:style>
  <w:style w:type="paragraph" w:customStyle="1" w:styleId="Header">
    <w:name w:val="Header"/>
    <w:basedOn w:val="Normale"/>
    <w:link w:val="IntestazioneCarattere"/>
    <w:uiPriority w:val="99"/>
    <w:semiHidden/>
    <w:unhideWhenUsed/>
    <w:rsid w:val="007A6FB7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Footer">
    <w:name w:val="Footer"/>
    <w:basedOn w:val="Normale"/>
    <w:link w:val="PidipaginaCarattere"/>
    <w:uiPriority w:val="99"/>
    <w:semiHidden/>
    <w:unhideWhenUsed/>
    <w:rsid w:val="007A6FB7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Contenutotabella">
    <w:name w:val="Contenuto tabella"/>
    <w:basedOn w:val="Normale"/>
    <w:qFormat/>
    <w:rsid w:val="00216079"/>
    <w:pPr>
      <w:suppressLineNumbers/>
    </w:pPr>
  </w:style>
  <w:style w:type="paragraph" w:customStyle="1" w:styleId="Titolotabella">
    <w:name w:val="Titolo tabella"/>
    <w:basedOn w:val="Contenutotabella"/>
    <w:qFormat/>
    <w:rsid w:val="00216079"/>
    <w:pPr>
      <w:jc w:val="center"/>
    </w:pPr>
    <w:rPr>
      <w:b/>
      <w:bCs/>
    </w:rPr>
  </w:style>
  <w:style w:type="paragraph" w:styleId="Paragrafoelenco">
    <w:name w:val="List Paragraph"/>
    <w:basedOn w:val="Normale"/>
    <w:uiPriority w:val="34"/>
    <w:qFormat/>
    <w:rsid w:val="002764A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lai beatrice</dc:creator>
  <cp:lastModifiedBy>caterina.fois</cp:lastModifiedBy>
  <cp:revision>2</cp:revision>
  <cp:lastPrinted>2024-04-12T09:43:00Z</cp:lastPrinted>
  <dcterms:created xsi:type="dcterms:W3CDTF">2024-07-10T10:23:00Z</dcterms:created>
  <dcterms:modified xsi:type="dcterms:W3CDTF">2024-07-10T10:23:00Z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