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40" w:leader="none"/>
          <w:tab w:val="left" w:pos="390" w:leader="none"/>
          <w:tab w:val="center" w:pos="4818" w:leader="none"/>
        </w:tabs>
        <w:rPr>
          <w:rFonts w:ascii="Calibri" w:hAnsi="Calibri"/>
          <w:sz w:val="32"/>
          <w:szCs w:val="40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359410</wp:posOffset>
            </wp:positionH>
            <wp:positionV relativeFrom="paragraph">
              <wp:posOffset>2540</wp:posOffset>
            </wp:positionV>
            <wp:extent cx="612140" cy="803910"/>
            <wp:effectExtent l="0" t="0" r="0" b="0"/>
            <wp:wrapNone/>
            <wp:docPr id="1" name="Immagine 3" descr="Logo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LogoNew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i/>
          <w:color w:val="808080"/>
          <w:sz w:val="52"/>
          <w:szCs w:val="40"/>
        </w:rPr>
        <w:tab/>
      </w:r>
      <w:r>
        <w:rPr>
          <w:rFonts w:ascii="Calibri" w:hAnsi="Calibri"/>
          <w:b/>
          <w:i/>
          <w:color w:val="808080"/>
          <w:sz w:val="52"/>
          <w:szCs w:val="40"/>
        </w:rPr>
        <w:tab/>
        <w:tab/>
      </w:r>
      <w:r>
        <w:rPr>
          <w:rFonts w:ascii="Calibri" w:hAnsi="Calibri"/>
          <w:i/>
          <w:color w:val="808080"/>
          <w:sz w:val="52"/>
          <w:szCs w:val="40"/>
        </w:rPr>
        <w:t>C</w:t>
      </w:r>
      <w:r>
        <w:rPr>
          <w:rFonts w:ascii="Calibri" w:hAnsi="Calibri"/>
          <w:sz w:val="44"/>
          <w:szCs w:val="40"/>
        </w:rPr>
        <w:t>omune</w:t>
      </w:r>
      <w:r>
        <w:rPr>
          <w:rFonts w:ascii="Calibri" w:hAnsi="Calibri"/>
          <w:sz w:val="32"/>
          <w:szCs w:val="40"/>
        </w:rPr>
        <w:t xml:space="preserve"> </w:t>
      </w:r>
      <w:r>
        <w:rPr>
          <w:rFonts w:ascii="Calibri" w:hAnsi="Calibri"/>
          <w:sz w:val="44"/>
          <w:szCs w:val="52"/>
        </w:rPr>
        <w:t>di</w:t>
      </w:r>
      <w:r>
        <w:rPr>
          <w:rFonts w:ascii="Calibri" w:hAnsi="Calibri"/>
          <w:sz w:val="32"/>
          <w:szCs w:val="40"/>
        </w:rPr>
        <w:t xml:space="preserve"> </w:t>
      </w:r>
      <w:r>
        <w:rPr>
          <w:rFonts w:ascii="Calibri" w:hAnsi="Calibri"/>
          <w:i/>
          <w:color w:val="808080"/>
          <w:sz w:val="52"/>
          <w:szCs w:val="72"/>
        </w:rPr>
        <w:t>S</w:t>
      </w:r>
      <w:r>
        <w:rPr>
          <w:rFonts w:ascii="Calibri" w:hAnsi="Calibri"/>
          <w:sz w:val="44"/>
          <w:szCs w:val="40"/>
        </w:rPr>
        <w:t>ant’</w:t>
      </w:r>
      <w:r>
        <w:rPr>
          <w:rFonts w:ascii="Calibri" w:hAnsi="Calibri"/>
          <w:i/>
          <w:color w:val="808080"/>
          <w:sz w:val="52"/>
          <w:szCs w:val="72"/>
        </w:rPr>
        <w:t>A</w:t>
      </w:r>
      <w:r>
        <w:rPr>
          <w:rFonts w:ascii="Calibri" w:hAnsi="Calibri"/>
          <w:sz w:val="44"/>
          <w:szCs w:val="40"/>
        </w:rPr>
        <w:t>ntioco</w:t>
      </w:r>
      <w:r>
        <w:rPr>
          <w:rFonts w:ascii="Calibri" w:hAnsi="Calibri"/>
          <w:sz w:val="32"/>
          <w:szCs w:val="40"/>
        </w:rPr>
        <w:tab/>
      </w:r>
    </w:p>
    <w:p>
      <w:pPr>
        <w:pStyle w:val="Normal"/>
        <w:jc w:val="center"/>
        <w:rPr>
          <w:rFonts w:ascii="Calibri" w:hAnsi="Calibri"/>
          <w:sz w:val="24"/>
          <w:szCs w:val="32"/>
        </w:rPr>
      </w:pPr>
      <w:r>
        <w:rPr>
          <w:rFonts w:ascii="Calibri" w:hAnsi="Calibri"/>
          <w:i/>
          <w:color w:val="808080"/>
          <w:sz w:val="36"/>
          <w:szCs w:val="32"/>
        </w:rPr>
        <w:t>P</w:t>
      </w:r>
      <w:r>
        <w:rPr>
          <w:rFonts w:ascii="Calibri" w:hAnsi="Calibri"/>
          <w:sz w:val="24"/>
          <w:szCs w:val="32"/>
        </w:rPr>
        <w:t>rovincia del</w:t>
      </w:r>
      <w:r>
        <w:rPr>
          <w:rFonts w:ascii="Calibri" w:hAnsi="Calibri"/>
          <w:b/>
          <w:szCs w:val="32"/>
        </w:rPr>
        <w:t xml:space="preserve"> </w:t>
      </w:r>
      <w:r>
        <w:rPr>
          <w:rFonts w:ascii="Calibri" w:hAnsi="Calibri"/>
          <w:i/>
          <w:color w:val="808080"/>
          <w:sz w:val="36"/>
          <w:szCs w:val="32"/>
        </w:rPr>
        <w:t>S</w:t>
      </w:r>
      <w:r>
        <w:rPr>
          <w:rFonts w:ascii="Calibri" w:hAnsi="Calibri"/>
          <w:sz w:val="24"/>
          <w:szCs w:val="32"/>
        </w:rPr>
        <w:t>ud</w:t>
      </w:r>
      <w:r>
        <w:rPr>
          <w:rFonts w:ascii="Calibri" w:hAnsi="Calibri"/>
          <w:b/>
          <w:szCs w:val="32"/>
        </w:rPr>
        <w:t xml:space="preserve"> </w:t>
      </w:r>
      <w:r>
        <w:rPr>
          <w:rFonts w:ascii="Calibri" w:hAnsi="Calibri"/>
          <w:i/>
          <w:color w:val="808080"/>
          <w:sz w:val="36"/>
          <w:szCs w:val="32"/>
        </w:rPr>
        <w:t>S</w:t>
      </w:r>
      <w:r>
        <w:rPr>
          <w:rFonts w:ascii="Calibri" w:hAnsi="Calibri"/>
          <w:sz w:val="24"/>
          <w:szCs w:val="32"/>
        </w:rPr>
        <w:t>ardegna</w:t>
      </w:r>
    </w:p>
    <w:p>
      <w:pPr>
        <w:pStyle w:val="Normal"/>
        <w:rPr>
          <w:rFonts w:ascii="Sylfaen" w:hAnsi="Sylfaen"/>
          <w:i/>
          <w:i/>
          <w:sz w:val="24"/>
          <w:szCs w:val="24"/>
        </w:rPr>
      </w:pPr>
      <w:r>
        <w:rPr>
          <w:rFonts w:ascii="Sylfaen" w:hAnsi="Sylfaen"/>
          <w:i/>
          <w:sz w:val="24"/>
          <w:szCs w:val="24"/>
        </w:rPr>
      </w:r>
    </w:p>
    <w:p>
      <w:pPr>
        <w:pStyle w:val="Normal"/>
        <w:jc w:val="center"/>
        <w:rPr/>
      </w:pPr>
      <w:r>
        <w:rPr>
          <w:rFonts w:ascii="Sylfaen" w:hAnsi="Sylfaen"/>
          <w:i/>
          <w:sz w:val="24"/>
          <w:szCs w:val="24"/>
        </w:rPr>
        <w:tab/>
        <w:tab/>
        <w:tab/>
        <w:tab/>
        <w:tab/>
        <w:tab/>
        <w:tab/>
        <w:tab/>
        <w:tab/>
        <w:tab/>
      </w:r>
      <w:r>
        <w:rPr>
          <w:rFonts w:ascii="Sylfaen" w:hAnsi="Sylfaen"/>
          <w:i w:val="false"/>
          <w:iCs w:val="false"/>
          <w:sz w:val="24"/>
          <w:szCs w:val="24"/>
        </w:rPr>
        <w:tab/>
      </w:r>
      <w:r>
        <w:rPr>
          <w:rFonts w:ascii="Sylfaen" w:hAnsi="Sylfaen"/>
          <w:b/>
          <w:i w:val="false"/>
          <w:iCs w:val="false"/>
          <w:sz w:val="24"/>
          <w:szCs w:val="24"/>
        </w:rPr>
        <w:t>Allegato 2</w:t>
      </w:r>
    </w:p>
    <w:p>
      <w:pPr>
        <w:pStyle w:val="Normal"/>
        <w:jc w:val="center"/>
        <w:rPr/>
      </w:pPr>
      <w:r>
        <w:rPr>
          <w:rFonts w:ascii="Sylfaen" w:hAnsi="Sylfaen"/>
          <w:i w:val="false"/>
          <w:iCs w:val="false"/>
          <w:sz w:val="22"/>
          <w:szCs w:val="22"/>
        </w:rPr>
        <w:t xml:space="preserve">SOCIETÀ ED ENTI </w:t>
      </w:r>
      <w:r>
        <w:rPr>
          <w:rFonts w:ascii="Sylfaen" w:hAnsi="Sylfaen"/>
          <w:b/>
          <w:i w:val="false"/>
          <w:iCs w:val="false"/>
          <w:sz w:val="22"/>
          <w:szCs w:val="22"/>
          <w:u w:val="single"/>
        </w:rPr>
        <w:t>ESCLUSI</w:t>
      </w:r>
      <w:r>
        <w:rPr>
          <w:rFonts w:ascii="Sylfaen" w:hAnsi="Sylfaen"/>
          <w:i w:val="false"/>
          <w:iCs w:val="false"/>
          <w:sz w:val="22"/>
          <w:szCs w:val="22"/>
        </w:rPr>
        <w:t xml:space="preserve"> DAL GRUPPO BILANCIO CONSOLIDATO al 31/12/20</w:t>
      </w:r>
      <w:r>
        <w:rPr>
          <w:rFonts w:ascii="Sylfaen" w:hAnsi="Sylfaen"/>
          <w:i/>
          <w:iCs w:val="false"/>
          <w:sz w:val="24"/>
          <w:szCs w:val="24"/>
        </w:rPr>
        <w:t>20</w:t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  <w:highlight w:val="yellow"/>
        </w:rPr>
      </w:pPr>
      <w:r>
        <w:rPr>
          <w:rFonts w:ascii="Calibri" w:hAnsi="Calibri"/>
          <w:i w:val="false"/>
          <w:iCs w:val="false"/>
          <w:sz w:val="22"/>
          <w:szCs w:val="22"/>
          <w:highlight w:val="yellow"/>
        </w:rPr>
      </w:r>
    </w:p>
    <w:tbl>
      <w:tblPr>
        <w:tblW w:w="98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2516"/>
        <w:gridCol w:w="7337"/>
      </w:tblGrid>
      <w:tr>
        <w:trPr>
          <w:trHeight w:val="757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sz w:val="22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</w:rPr>
              <w:t>FONDAZIONE CAMMINO DI SANTA BARBARA</w:t>
            </w:r>
          </w:p>
        </w:tc>
      </w:tr>
      <w:tr>
        <w:trPr>
          <w:trHeight w:val="21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Soggetto giuridico senza scopo di lucro </w:t>
            </w:r>
          </w:p>
        </w:tc>
      </w:tr>
      <w:tr>
        <w:trPr>
          <w:trHeight w:val="312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Codice Fiscale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00376610929</w:t>
            </w:r>
          </w:p>
        </w:tc>
      </w:tr>
      <w:tr>
        <w:trPr>
          <w:trHeight w:val="216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partecipazione del Comune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di partecipazion</w:t>
            </w:r>
            <w:r>
              <w:rPr>
                <w:rFonts w:eastAsia="Times New Roman" w:cs="Times New Roman" w:ascii="Calibri" w:hAnsi="Calibri"/>
                <w:i w:val="false"/>
                <w:iCs w:val="false"/>
                <w:color w:val="auto"/>
                <w:kern w:val="0"/>
                <w:sz w:val="22"/>
                <w:szCs w:val="22"/>
                <w:lang w:val="it-IT" w:eastAsia="it-IT" w:bidi="ar-SA"/>
              </w:rPr>
              <w:t xml:space="preserve">e </w:t>
            </w:r>
            <w:bookmarkStart w:id="0" w:name="__DdeLink__1819_852123636"/>
            <w:r>
              <w:rPr>
                <w:rFonts w:eastAsia="Times New Roman" w:cs="Times New Roman" w:ascii="Calibri" w:hAnsi="Calibri"/>
                <w:i w:val="false"/>
                <w:iCs w:val="false"/>
                <w:color w:val="auto"/>
                <w:kern w:val="0"/>
                <w:sz w:val="22"/>
                <w:szCs w:val="22"/>
                <w:lang w:val="it-IT" w:eastAsia="it-IT" w:bidi="ar-SA"/>
              </w:rPr>
              <w:t>6,976%</w:t>
            </w:r>
          </w:p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€ </w:t>
            </w: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1.500,00 (fondo dotazione iniziale  € 21.5</w:t>
            </w:r>
            <w:bookmarkEnd w:id="0"/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00,00)</w:t>
            </w:r>
          </w:p>
        </w:tc>
      </w:tr>
      <w:tr>
        <w:trPr>
          <w:trHeight w:val="21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Sede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>Iglesias, Piazza Municipio n. 1, 09016 Iglesias</w:t>
            </w:r>
          </w:p>
        </w:tc>
      </w:tr>
      <w:tr>
        <w:trPr>
          <w:trHeight w:val="100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Attività di servizio pubblico affidate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Scopo fondamentale la valorizzazione dell’itinerario storico, cultura-le, naturalistico, ambientale e religioso denominato “Cammino Minerario di Santa Barbara”.</w:t>
            </w:r>
          </w:p>
        </w:tc>
      </w:tr>
      <w:tr>
        <w:trPr>
          <w:trHeight w:val="469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Data Costituzione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>Repertorio n. 1443 Raccolta n. 903 17/12/2016</w:t>
            </w:r>
          </w:p>
        </w:tc>
      </w:tr>
      <w:tr>
        <w:trPr>
          <w:trHeight w:val="67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MOTIVO ESCLUSIONE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Art.2 c.3 punto 1) alleg. 4/4 del d.lgs. 118/2011 “organismo strumentale” – Non si esercita una influenza dominante.</w:t>
            </w:r>
          </w:p>
          <w:p>
            <w:pPr>
              <w:pStyle w:val="Normal"/>
              <w:jc w:val="both"/>
              <w:rPr/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Bilancio Irrilevante art.3 comma 3 alleg. 4/4 del d.lgs. 118/2011</w:t>
            </w:r>
          </w:p>
          <w:p>
            <w:pPr>
              <w:pStyle w:val="Normal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Sono considerati irrilevanti i bilanci che presentano, per ciascuno dei seguenti parametri, una incidenza inferiore al 10 per cento per gli enti locali rispetto alla posizione patrimoniale, economico e finanziaria della capogruppo:</w:t>
            </w:r>
          </w:p>
          <w:p>
            <w:pPr>
              <w:pStyle w:val="Normal"/>
              <w:ind w:left="1416" w:hanging="0"/>
              <w:jc w:val="both"/>
              <w:rPr>
                <w:sz w:val="18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- totale dell’attivo,</w:t>
            </w:r>
          </w:p>
          <w:p>
            <w:pPr>
              <w:pStyle w:val="Normal"/>
              <w:ind w:left="1416" w:hanging="0"/>
              <w:jc w:val="both"/>
              <w:rPr>
                <w:sz w:val="18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- patrimonio netto,</w:t>
            </w:r>
          </w:p>
          <w:p>
            <w:pPr>
              <w:pStyle w:val="Normal"/>
              <w:ind w:left="1416" w:hanging="0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- totale dei ricavi caratteristici</w:t>
            </w:r>
          </w:p>
          <w:p>
            <w:pPr>
              <w:pStyle w:val="Normal"/>
              <w:ind w:hanging="0"/>
              <w:jc w:val="center"/>
              <w:rPr/>
            </w:pPr>
            <w:r>
              <w:rPr>
                <w:rFonts w:cs="Arial" w:ascii="Calibri" w:hAnsi="Calibri"/>
                <w:b/>
                <w:i w:val="false"/>
                <w:iCs w:val="false"/>
                <w:color w:val="000000"/>
                <w:sz w:val="22"/>
                <w:szCs w:val="22"/>
              </w:rPr>
              <w:t>CALCOLO DELLA RILEVANZA DEI BILANCI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TOTALE ATTIVO FONDAZIONE 2020                     </w:t>
            </w:r>
            <w:r>
              <w:rPr>
                <w:rFonts w:eastAsia="Times New Roman" w:cs="Times New Roman" w:ascii="Arial" w:hAnsi="Arial"/>
                <w:b/>
                <w:i w:val="false"/>
                <w:iCs w:val="false"/>
                <w:color w:val="auto"/>
                <w:kern w:val="0"/>
                <w:sz w:val="14"/>
                <w:szCs w:val="24"/>
                <w:lang w:val="it-IT" w:eastAsia="it-IT" w:bidi="ar-SA"/>
              </w:rPr>
              <w:t xml:space="preserve">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1.473.953,00</w:t>
            </w:r>
          </w:p>
          <w:p>
            <w:pPr>
              <w:pStyle w:val="Normal"/>
              <w:ind w:hanging="0"/>
              <w:jc w:val="both"/>
              <w:rPr>
                <w:rFonts w:ascii="Sylfaen" w:hAnsi="Sylfaen"/>
                <w:b/>
                <w:b/>
                <w:i w:val="false"/>
                <w:i w:val="false"/>
                <w:iCs w:val="false"/>
                <w:sz w:val="16"/>
                <w:szCs w:val="24"/>
              </w:rPr>
            </w:pP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TOTALE ATTIVO COMUNE     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 xml:space="preserve">                   87.370.090,95</w:t>
            </w:r>
          </w:p>
          <w:p>
            <w:pPr>
              <w:pStyle w:val="Normal"/>
              <w:ind w:left="1416" w:hanging="0"/>
              <w:jc w:val="both"/>
              <w:rPr/>
            </w:pP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%                                           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 xml:space="preserve">  0,016870</w:t>
            </w:r>
          </w:p>
          <w:p>
            <w:pPr>
              <w:pStyle w:val="Normal"/>
              <w:ind w:left="1416" w:hanging="0"/>
              <w:jc w:val="both"/>
              <w:rPr>
                <w:rFonts w:ascii="Sylfaen" w:hAnsi="Sylfaen"/>
                <w:b/>
                <w:b/>
                <w:i w:val="false"/>
                <w:i w:val="false"/>
                <w:iCs w:val="false"/>
                <w:sz w:val="16"/>
                <w:szCs w:val="24"/>
              </w:rPr>
            </w:pPr>
            <w:r>
              <w:rPr/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Calibri" w:ascii="Calibri" w:hAnsi="Calibri"/>
                <w:b/>
                <w:i w:val="false"/>
                <w:iCs w:val="false"/>
                <w:color w:val="000000"/>
                <w:sz w:val="22"/>
                <w:szCs w:val="22"/>
              </w:rPr>
              <w:t>Patrimonio netto fondazione</w:t>
            </w:r>
            <w:r>
              <w:rPr>
                <w:rFonts w:cs="Calibri" w:ascii="Sylfaen" w:hAnsi="Sylfaen"/>
                <w:b/>
                <w:i w:val="false"/>
                <w:iCs w:val="false"/>
                <w:color w:val="000000"/>
                <w:sz w:val="18"/>
                <w:szCs w:val="24"/>
              </w:rPr>
              <w:t xml:space="preserve"> </w:t>
            </w:r>
            <w:r>
              <w:rPr>
                <w:rFonts w:cs="Calibri" w:ascii="Sylfaen" w:hAnsi="Sylfaen"/>
                <w:b/>
                <w:i w:val="false"/>
                <w:iCs w:val="false"/>
                <w:color w:val="000000"/>
                <w:sz w:val="18"/>
                <w:szCs w:val="24"/>
              </w:rPr>
              <w:t xml:space="preserve">(CONSUNTIVO 2020)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143.861,00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rFonts w:cs="Calibri" w:ascii="Calibri" w:hAnsi="Calibri"/>
                <w:b/>
                <w:i w:val="false"/>
                <w:iCs w:val="false"/>
                <w:color w:val="000000"/>
                <w:sz w:val="22"/>
                <w:szCs w:val="22"/>
              </w:rPr>
              <w:t xml:space="preserve">Patrimonio netto Comune      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>79.628.070,67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 xml:space="preserve">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 xml:space="preserve">%                                                            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>0,0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>018066</w:t>
            </w:r>
          </w:p>
          <w:p>
            <w:pPr>
              <w:pStyle w:val="Normal"/>
              <w:ind w:hanging="0"/>
              <w:jc w:val="both"/>
              <w:rPr>
                <w:rFonts w:ascii="Calibri" w:hAnsi="Calibri" w:eastAsia="Calibri" w:cs="Arial"/>
                <w:b/>
                <w:b/>
                <w:bCs/>
                <w:i w:val="false"/>
                <w:i w:val="false"/>
                <w:iCs w:val="false"/>
                <w:color w:val="000000"/>
                <w:sz w:val="22"/>
                <w:szCs w:val="22"/>
                <w:lang w:eastAsia="en-US"/>
              </w:rPr>
            </w:pPr>
            <w:r>
              <w:rPr/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totale dei ricavi caratteristici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FONDAZIONE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2.758.683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totale dei ricavi caratteristici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COMUNE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 xml:space="preserve">    15.101.631,83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lang w:val="it-IT" w:eastAsia="en-US" w:bidi="ar-SA"/>
              </w:rPr>
              <w:t xml:space="preserve">         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lang w:val="it-IT" w:eastAsia="en-US" w:bidi="ar-SA"/>
              </w:rPr>
              <w:t>%                                                                      0,18267</w:t>
            </w:r>
          </w:p>
          <w:p>
            <w:pPr>
              <w:pStyle w:val="Normal"/>
              <w:ind w:hanging="0"/>
              <w:jc w:val="left"/>
              <w:rPr>
                <w:rFonts w:ascii="Calibri" w:hAnsi="Calibri" w:eastAsia="Calibri" w:cs="Arial"/>
                <w:b/>
                <w:b/>
                <w:bCs/>
                <w:i w:val="false"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</w:r>
          </w:p>
          <w:p>
            <w:pPr>
              <w:pStyle w:val="Normal"/>
              <w:rPr>
                <w:rFonts w:ascii="Calibri" w:hAnsi="Calibri"/>
                <w:b/>
                <w:b/>
                <w:i w:val="false"/>
                <w:i w:val="false"/>
                <w:iCs w:val="false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</w:r>
          </w:p>
        </w:tc>
      </w:tr>
    </w:tbl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>
          <w:rFonts w:ascii="Calibri" w:hAnsi="Calibri"/>
          <w:i w:val="false"/>
          <w:iCs w:val="false"/>
          <w:sz w:val="22"/>
          <w:szCs w:val="22"/>
        </w:rPr>
      </w:r>
    </w:p>
    <w:tbl>
      <w:tblPr>
        <w:tblW w:w="98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2516"/>
        <w:gridCol w:w="7337"/>
      </w:tblGrid>
      <w:tr>
        <w:trPr>
          <w:trHeight w:val="757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76"/>
              <w:rPr>
                <w:rFonts w:ascii="Sylfaen" w:hAnsi="Sylfaen"/>
                <w:b/>
                <w:b/>
                <w:sz w:val="22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</w:rPr>
              <w:t>GAL SULCIS IGLESIENTE, CAPOTERRA E CAMPIDANO DI CAGLIARI S.C.A.R.L</w:t>
            </w:r>
          </w:p>
        </w:tc>
      </w:tr>
      <w:tr>
        <w:trPr>
          <w:trHeight w:val="21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Società Consortile a responsabilità limitata</w:t>
            </w:r>
          </w:p>
        </w:tc>
      </w:tr>
      <w:tr>
        <w:trPr>
          <w:trHeight w:val="312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Partita Iva 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02324550926</w:t>
            </w:r>
          </w:p>
        </w:tc>
      </w:tr>
      <w:tr>
        <w:trPr>
          <w:trHeight w:val="216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partecipazione del Comune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Quota partecipazione  3,43%,  </w:t>
            </w:r>
          </w:p>
        </w:tc>
      </w:tr>
      <w:tr>
        <w:trPr>
          <w:trHeight w:val="21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Sede legale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>VIA ALDO MORO , SNC, Masainas (SU)</w:t>
            </w:r>
            <w:r>
              <w:rPr>
                <w:rFonts w:eastAsia="Calibri" w:cs="Courier New" w:ascii="Calibri" w:hAnsi="Calibri" w:eastAsiaTheme="minorHAns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>
        <w:trPr>
          <w:trHeight w:val="568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Attività di servizio pubblico affidate 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Pubbliche relazioni e comunicazione, Attività di supporto alla produzione vegetale, Altre attività di consulenza imprenditoriale e altra consulenza amministrativo-gestionale e pianificazione aziendale</w:t>
            </w:r>
          </w:p>
        </w:tc>
      </w:tr>
      <w:tr>
        <w:trPr>
          <w:trHeight w:val="67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MOTIVO  INCLUSIONE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Ente Strumentale Partecipato</w:t>
            </w: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    Art.2 comma 2.2  alleg. 4/4 del d.lgs. 118/2011 “Gruppo Amministrazione Pubblica”</w:t>
            </w:r>
          </w:p>
        </w:tc>
      </w:tr>
      <w:tr>
        <w:trPr>
          <w:trHeight w:val="670" w:hRule="atLeast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spacing w:lineRule="auto" w:line="276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MOTIVO ESCLUSIONE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Sylfaen" w:hAnsi="Sylfaen"/>
                <w:b/>
                <w:b/>
                <w:i/>
                <w:i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Art.2 c.2.2 alleg. 4/4 del d.lgs. 118/2011 “organismo strumentale” – Non si esercita una influenza dominante.</w:t>
            </w:r>
          </w:p>
          <w:p>
            <w:pPr>
              <w:pStyle w:val="Normal"/>
              <w:spacing w:lineRule="auto" w:line="276"/>
              <w:rPr>
                <w:rFonts w:ascii="Sylfaen" w:hAnsi="Sylfaen"/>
                <w:b/>
                <w:b/>
                <w:i/>
                <w:i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Bilancio Irrilevante art.3 comma 3 alleg. 4/4 del d.lgs. 118/2011</w:t>
            </w:r>
          </w:p>
          <w:p>
            <w:pPr>
              <w:pStyle w:val="Normal"/>
              <w:spacing w:lineRule="auto" w:line="276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Sono considerati irrilevanti i bilanci che presentano, per ciascuno dei seguenti parametri, una incidenza inferiore al 10 per cento per gli enti locali rispetto alla posizione patrimoniale, economico e finanziaria della capogruppo</w:t>
            </w:r>
          </w:p>
          <w:p>
            <w:pPr>
              <w:pStyle w:val="Normal"/>
              <w:spacing w:lineRule="auto" w:line="276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Non disponendo del bilancio  2020 si riportano allo stato attuale i dati del bilancio 2019</w:t>
            </w:r>
          </w:p>
          <w:p>
            <w:pPr>
              <w:pStyle w:val="Normal"/>
              <w:ind w:left="1416" w:hanging="0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totale dell’attivo,</w:t>
            </w:r>
          </w:p>
          <w:p>
            <w:pPr>
              <w:pStyle w:val="Normal"/>
              <w:ind w:left="1416" w:hanging="0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- patrimonio netto,</w:t>
            </w:r>
          </w:p>
          <w:p>
            <w:pPr>
              <w:pStyle w:val="Normal"/>
              <w:ind w:left="1416" w:hanging="0"/>
              <w:jc w:val="both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- totale dei ricavi caratteristici</w:t>
            </w:r>
          </w:p>
          <w:p>
            <w:pPr>
              <w:pStyle w:val="Normal"/>
              <w:ind w:hanging="0"/>
              <w:jc w:val="center"/>
              <w:rPr/>
            </w:pPr>
            <w:r>
              <w:rPr>
                <w:rFonts w:cs="Arial" w:ascii="Calibri" w:hAnsi="Calibri"/>
                <w:b/>
                <w:i w:val="false"/>
                <w:iCs w:val="false"/>
                <w:color w:val="000000"/>
                <w:sz w:val="22"/>
                <w:szCs w:val="22"/>
              </w:rPr>
              <w:t>CALCOLO DELLA RILEVANZA DEI BILANCI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TOTALE ATTIVO </w:t>
            </w: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 GAL 2019                </w:t>
            </w: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                     </w:t>
            </w:r>
            <w:r>
              <w:rPr>
                <w:rFonts w:eastAsia="Times New Roman" w:cs="Times New Roman" w:ascii="Arial" w:hAnsi="Arial"/>
                <w:b/>
                <w:i w:val="false"/>
                <w:iCs w:val="false"/>
                <w:color w:val="auto"/>
                <w:kern w:val="0"/>
                <w:sz w:val="14"/>
                <w:szCs w:val="24"/>
                <w:lang w:val="it-IT" w:eastAsia="it-IT" w:bidi="ar-SA"/>
              </w:rPr>
              <w:t xml:space="preserve">                           </w:t>
            </w:r>
            <w:r>
              <w:rPr>
                <w:rFonts w:eastAsia="Times New Roman" w:cs="Times New Roman" w:ascii="Arial" w:hAnsi="Arial"/>
                <w:b/>
                <w:bCs/>
                <w:i w:val="false"/>
                <w:iCs w:val="false"/>
                <w:color w:val="auto"/>
                <w:kern w:val="0"/>
                <w:sz w:val="14"/>
                <w:szCs w:val="24"/>
                <w:lang w:val="it-IT" w:eastAsia="it-IT" w:bidi="ar-SA"/>
              </w:rPr>
              <w:t>546.171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,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00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TOTALE ATTIVO COMUNE     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 xml:space="preserve">                   87.370.090,95</w:t>
            </w:r>
          </w:p>
          <w:p>
            <w:pPr>
              <w:pStyle w:val="Normal"/>
              <w:ind w:left="1416" w:hanging="0"/>
              <w:jc w:val="both"/>
              <w:rPr/>
            </w:pPr>
            <w:r>
              <w:rPr>
                <w:rFonts w:ascii="Sylfaen" w:hAnsi="Sylfaen"/>
                <w:b/>
                <w:i w:val="false"/>
                <w:iCs w:val="false"/>
                <w:sz w:val="16"/>
                <w:szCs w:val="24"/>
              </w:rPr>
              <w:t xml:space="preserve">%                                       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 xml:space="preserve">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18"/>
                <w:szCs w:val="18"/>
                <w:u w:val="none"/>
                <w:em w:val="none"/>
                <w:lang w:val="it-IT" w:eastAsia="en-US" w:bidi="ar-SA"/>
              </w:rPr>
              <w:t>0,0049986</w:t>
            </w:r>
          </w:p>
          <w:p>
            <w:pPr>
              <w:pStyle w:val="Normal"/>
              <w:ind w:left="1416" w:hanging="0"/>
              <w:jc w:val="both"/>
              <w:rPr>
                <w:rFonts w:ascii="Sylfaen" w:hAnsi="Sylfaen"/>
                <w:b/>
                <w:b/>
                <w:i w:val="false"/>
                <w:i w:val="false"/>
                <w:iCs w:val="false"/>
                <w:sz w:val="16"/>
                <w:szCs w:val="24"/>
              </w:rPr>
            </w:pPr>
            <w:r>
              <w:rPr/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Calibri" w:ascii="Calibri" w:hAnsi="Calibri"/>
                <w:b/>
                <w:i w:val="false"/>
                <w:iCs w:val="false"/>
                <w:color w:val="000000"/>
                <w:sz w:val="22"/>
                <w:szCs w:val="22"/>
              </w:rPr>
              <w:t xml:space="preserve">Patrimonio netto  </w:t>
            </w:r>
            <w:r>
              <w:rPr>
                <w:rFonts w:cs="Calibri" w:ascii="Sylfaen" w:hAnsi="Sylfaen"/>
                <w:b/>
                <w:i w:val="false"/>
                <w:iCs w:val="false"/>
                <w:color w:val="000000"/>
                <w:sz w:val="16"/>
                <w:szCs w:val="24"/>
              </w:rPr>
              <w:t xml:space="preserve">GAL 2019  </w:t>
            </w:r>
            <w:r>
              <w:rPr>
                <w:rFonts w:cs="Calibri" w:ascii="Sylfaen" w:hAnsi="Sylfaen"/>
                <w:b/>
                <w:i w:val="false"/>
                <w:iCs w:val="false"/>
                <w:color w:val="000000"/>
                <w:sz w:val="18"/>
                <w:szCs w:val="24"/>
              </w:rPr>
              <w:t xml:space="preserve">                                                </w:t>
            </w:r>
            <w:r>
              <w:rPr>
                <w:rFonts w:eastAsia="Calibri" w:cs="Calibri" w:ascii="Sylfaen" w:hAnsi="Sylfaen"/>
                <w:b/>
                <w:bCs/>
                <w:i w:val="false"/>
                <w:iCs w:val="false"/>
                <w:color w:val="000000"/>
                <w:kern w:val="0"/>
                <w:sz w:val="18"/>
                <w:szCs w:val="24"/>
                <w:lang w:val="it-IT" w:eastAsia="en-US" w:bidi="ar-SA"/>
              </w:rPr>
              <w:t>182.830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,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00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rFonts w:cs="Calibri" w:ascii="Calibri" w:hAnsi="Calibri"/>
                <w:b/>
                <w:i w:val="false"/>
                <w:iCs w:val="false"/>
                <w:color w:val="000000"/>
                <w:sz w:val="22"/>
                <w:szCs w:val="22"/>
              </w:rPr>
              <w:t xml:space="preserve">Patrimonio netto Comune      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>79.628.070,67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 xml:space="preserve">                                  </w:t>
            </w:r>
            <w:r>
              <w:rPr>
                <w:rFonts w:eastAsia="Calibri" w:cs="Arial" w:ascii="Calibri" w:hAnsi="Calibri" w:eastAsiaTheme="minorHAns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 xml:space="preserve">%                                                            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  <w:lang w:eastAsia="en-US"/>
              </w:rPr>
              <w:t>0,002256</w:t>
            </w:r>
          </w:p>
          <w:p>
            <w:pPr>
              <w:pStyle w:val="Normal"/>
              <w:ind w:hanging="0"/>
              <w:jc w:val="both"/>
              <w:rPr>
                <w:rFonts w:ascii="Calibri" w:hAnsi="Calibri" w:eastAsia="Calibri" w:cs="Arial"/>
                <w:b/>
                <w:b/>
                <w:bCs/>
                <w:i w:val="false"/>
                <w:i w:val="false"/>
                <w:iCs w:val="false"/>
                <w:color w:val="000000"/>
                <w:sz w:val="22"/>
                <w:szCs w:val="22"/>
                <w:lang w:eastAsia="en-US"/>
              </w:rPr>
            </w:pPr>
            <w:r>
              <w:rPr/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totale dei ricavi caratteristici </w:t>
            </w:r>
            <w:r>
              <w:rPr>
                <w:rFonts w:eastAsia="Calibri" w:cs="Arial" w:ascii="Sylfaen" w:hAnsi="Sylfaen"/>
                <w:b/>
                <w:bCs/>
                <w:i w:val="false"/>
                <w:iCs w:val="false"/>
                <w:color w:val="000000"/>
                <w:sz w:val="16"/>
                <w:szCs w:val="24"/>
                <w:lang w:eastAsia="en-US"/>
              </w:rPr>
              <w:t xml:space="preserve">GAL 2019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>224.155,00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totale dei ricavi caratteristici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COMUNE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18"/>
                <w:szCs w:val="18"/>
                <w:lang w:val="it-IT" w:eastAsia="en-US" w:bidi="ar-SA"/>
              </w:rPr>
              <w:t xml:space="preserve">    15.101.631,83</w:t>
            </w:r>
          </w:p>
          <w:p>
            <w:pPr>
              <w:pStyle w:val="Normal"/>
              <w:spacing w:lineRule="auto" w:line="276"/>
              <w:ind w:hanging="0"/>
              <w:jc w:val="both"/>
              <w:rPr/>
            </w:pP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lang w:val="it-IT" w:eastAsia="en-US" w:bidi="ar-SA"/>
              </w:rPr>
              <w:t xml:space="preserve">                          </w:t>
            </w:r>
            <w:r>
              <w:rPr>
                <w:rFonts w:eastAsia="Calibri" w:cs="Arial" w:ascii="Calibri" w:hAnsi="Calibri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lang w:val="it-IT" w:eastAsia="en-US" w:bidi="ar-SA"/>
              </w:rPr>
              <w:t>%                                                                    0,017480</w:t>
            </w:r>
          </w:p>
          <w:p>
            <w:pPr>
              <w:pStyle w:val="Normal"/>
              <w:spacing w:lineRule="auto" w:line="276"/>
              <w:jc w:val="both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>
          <w:rFonts w:ascii="Calibri" w:hAnsi="Calibri"/>
          <w:i w:val="false"/>
          <w:iCs w:val="false"/>
          <w:sz w:val="22"/>
          <w:szCs w:val="22"/>
        </w:rPr>
      </w:r>
    </w:p>
    <w:p>
      <w:pPr>
        <w:pStyle w:val="Normal"/>
        <w:rPr>
          <w:rFonts w:ascii="Calibri" w:hAnsi="Calibri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Calibri" w:hAnsi="Calibri"/>
          <w:b w:val="false"/>
          <w:bCs w:val="false"/>
          <w:i w:val="false"/>
          <w:iCs w:val="false"/>
          <w:sz w:val="22"/>
          <w:szCs w:val="22"/>
        </w:rPr>
      </w:r>
    </w:p>
    <w:tbl>
      <w:tblPr>
        <w:tblW w:w="98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3772"/>
        <w:gridCol w:w="6081"/>
      </w:tblGrid>
      <w:tr>
        <w:trPr>
          <w:trHeight w:val="67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EGAS ENTE GOVERNO  DELL’AMBITO DELLA SARDEGNA</w:t>
            </w:r>
          </w:p>
        </w:tc>
      </w:tr>
      <w:tr>
        <w:trPr>
          <w:trHeight w:val="405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Ente pubblico istituito con legge regionale</w:t>
            </w:r>
          </w:p>
        </w:tc>
      </w:tr>
      <w:tr>
        <w:trPr>
          <w:trHeight w:val="423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Partita Iva 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02865400929</w:t>
            </w:r>
          </w:p>
        </w:tc>
      </w:tr>
      <w:tr>
        <w:trPr>
          <w:trHeight w:val="428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Sito Internet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hyperlink r:id="rId3">
              <w:r>
                <w:rPr>
                  <w:rStyle w:val="CollegamentoInternet"/>
                  <w:rFonts w:ascii="Calibri" w:hAnsi="Calibri"/>
                  <w:b w:val="false"/>
                  <w:bCs w:val="false"/>
                  <w:i w:val="false"/>
                  <w:iCs w:val="false"/>
                  <w:sz w:val="22"/>
                  <w:szCs w:val="22"/>
                  <w:u w:val="none"/>
                </w:rPr>
                <w:t>http://www.ato.sardegna.it/</w:t>
              </w:r>
            </w:hyperlink>
          </w:p>
        </w:tc>
      </w:tr>
      <w:tr>
        <w:trPr>
          <w:trHeight w:val="495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Quota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consortile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 xml:space="preserve">0,0058587 </w:t>
            </w:r>
          </w:p>
        </w:tc>
      </w:tr>
      <w:tr>
        <w:trPr>
          <w:trHeight w:val="388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Sede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Via Cesare Battisti 14, 09123 Cagliari CA</w:t>
            </w:r>
          </w:p>
        </w:tc>
      </w:tr>
      <w:tr>
        <w:trPr>
          <w:trHeight w:val="462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Attività di servizio pubblico affidate 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Organizzazione del servizio Idrico Integrato</w:t>
            </w:r>
          </w:p>
        </w:tc>
      </w:tr>
      <w:tr>
        <w:trPr>
          <w:trHeight w:val="67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MOTIVO  ESCLUSIONE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Calibri" w:hAnsi="Calibri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2"/>
                <w:szCs w:val="22"/>
                <w:u w:val="none"/>
                <w:lang w:val="it-IT" w:eastAsia="it-IT" w:bidi="ar-SA"/>
              </w:rPr>
            </w:pPr>
            <w:r>
              <w:rPr>
                <w:rFonts w:eastAsia="Times New Roman" w:cs="Times New Roman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none"/>
                <w:lang w:val="it-IT" w:eastAsia="it-IT" w:bidi="ar-SA"/>
              </w:rPr>
              <w:t xml:space="preserve">Ente Strumentale Partecipato Art.2 comma 2.2 alleg. 4/4 del d.lgs. 118/2011 </w:t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rFonts w:ascii="Calibri" w:hAnsi="Calibri"/>
          <w:b w:val="false"/>
          <w:bCs w:val="false"/>
          <w:i w:val="false"/>
          <w:iCs w:val="false"/>
          <w:sz w:val="22"/>
          <w:szCs w:val="22"/>
        </w:rPr>
      </w:r>
    </w:p>
    <w:p>
      <w:pPr>
        <w:pStyle w:val="Normal"/>
        <w:rPr/>
      </w:pPr>
      <w:r>
        <w:rPr>
          <w:rFonts w:ascii="Calibri" w:hAnsi="Calibri"/>
          <w:i w:val="false"/>
          <w:iCs w:val="false"/>
          <w:sz w:val="22"/>
          <w:szCs w:val="22"/>
        </w:rPr>
        <w:tab/>
        <w:tab/>
        <w:tab/>
        <w:tab/>
        <w:tab/>
        <w:tab/>
        <w:tab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>
          <w:rFonts w:ascii="Calibri" w:hAnsi="Calibri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/>
      </w:pPr>
      <w:r>
        <w:rPr>
          <w:rFonts w:ascii="Calibri" w:hAnsi="Calibri"/>
          <w:i w:val="false"/>
          <w:iCs w:val="false"/>
          <w:sz w:val="22"/>
          <w:szCs w:val="22"/>
        </w:rPr>
        <w:tab/>
        <w:t>Il Responsabile del servizio Finanziario</w:t>
      </w:r>
    </w:p>
    <w:p>
      <w:pPr>
        <w:pStyle w:val="Normal"/>
        <w:ind w:left="5664" w:firstLine="708"/>
        <w:rPr/>
      </w:pPr>
      <w:r>
        <w:rPr>
          <w:rFonts w:ascii="Calibri" w:hAnsi="Calibri"/>
          <w:i w:val="false"/>
          <w:iCs w:val="false"/>
          <w:sz w:val="22"/>
          <w:szCs w:val="22"/>
        </w:rPr>
        <w:t xml:space="preserve">Dott.ssa Beatrice Lai </w:t>
      </w:r>
    </w:p>
    <w:sectPr>
      <w:type w:val="nextPage"/>
      <w:pgSz w:w="11906" w:h="16838"/>
      <w:pgMar w:left="1134" w:right="1134" w:header="0" w:top="993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ylfaen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4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5b1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rPr>
      <w:color w:val="0000FF"/>
      <w:u w:val="single"/>
    </w:rPr>
  </w:style>
  <w:style w:type="character" w:styleId="ListLabel1">
    <w:name w:val="ListLabel 1"/>
    <w:qFormat/>
    <w:rPr>
      <w:rFonts w:ascii="Calibri" w:hAnsi="Calibri"/>
      <w:b w:val="false"/>
      <w:bCs w:val="false"/>
      <w:i w:val="false"/>
      <w:iCs w:val="false"/>
      <w:sz w:val="22"/>
      <w:szCs w:val="22"/>
      <w:u w:val="no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ad3b52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ato.sardegna.it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8EAA0-408B-4733-845D-8F39032FC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Application>LibreOffice/6.0.4.2$Windows_X86_64 LibreOffice_project/9b0d9b32d5dcda91d2f1a96dc04c645c450872bf</Application>
  <Pages>3</Pages>
  <Words>475</Words>
  <Characters>3135</Characters>
  <CharactersWithSpaces>4575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2019-09-27T04:18:00Z</dcterms:created>
  <dc:creator>lai beatrice</dc:creator>
  <dc:description/>
  <dc:language>it-IT</dc:language>
  <cp:lastModifiedBy/>
  <cp:lastPrinted>2018-09-13T12:01:00Z</cp:lastPrinted>
  <dcterms:modified xsi:type="dcterms:W3CDTF">2021-09-07T06:56:13Z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