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both"/>
        <w:rPr>
          <w:rFonts w:ascii="Times New Roman" w:hAnsi="Times New Roman"/>
          <w:b/>
          <w:sz w:val="24"/>
          <w:szCs w:val="24"/>
        </w:rPr>
      </w:pPr>
      <w:r>
        <w:rPr>
          <w:rFonts w:ascii="Times New Roman" w:hAnsi="Times New Roman"/>
          <w:b/>
          <w:sz w:val="24"/>
          <w:szCs w:val="24"/>
        </w:rPr>
        <w:drawing>
          <wp:anchor distT="0" distB="0" distL="0" distR="0" simplePos="0" relativeHeight="2" behindDoc="1" locked="0" layoutInCell="1" allowOverlap="1">
            <wp:simplePos x="0" y="0"/>
            <wp:positionH relativeFrom="column">
              <wp:posOffset>57150</wp:posOffset>
            </wp:positionH>
            <wp:positionV relativeFrom="paragraph">
              <wp:posOffset>75565</wp:posOffset>
            </wp:positionV>
            <wp:extent cx="862330" cy="1177290"/>
            <wp:effectExtent l="0" t="0" r="0" b="0"/>
            <wp:wrapNone/>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2"/>
                    <a:srcRect l="-516" t="-382" r="-516" b="-382"/>
                    <a:stretch>
                      <a:fillRect/>
                    </a:stretch>
                  </pic:blipFill>
                  <pic:spPr bwMode="auto">
                    <a:xfrm>
                      <a:off x="0" y="0"/>
                      <a:ext cx="862330" cy="1177290"/>
                    </a:xfrm>
                    <a:prstGeom prst="rect">
                      <a:avLst/>
                    </a:prstGeom>
                    <a:noFill/>
                  </pic:spPr>
                </pic:pic>
              </a:graphicData>
            </a:graphic>
          </wp:anchor>
        </w:drawing>
      </w:r>
    </w:p>
    <w:p>
      <w:pPr>
        <w:pStyle w:val="Header"/>
        <w:numPr>
          <w:ilvl w:val="0"/>
          <w:numId w:val="2"/>
        </w:numPr>
        <w:spacing w:lineRule="auto" w:line="276"/>
        <w:jc w:val="center"/>
        <w:rPr>
          <w:sz w:val="24"/>
          <w:szCs w:val="24"/>
        </w:rPr>
      </w:pPr>
      <w:r>
        <w:drawing>
          <wp:anchor distT="0" distB="0" distL="0" distR="0" simplePos="0" relativeHeight="3" behindDoc="1" locked="0" layoutInCell="1" allowOverlap="1">
            <wp:simplePos x="0" y="0"/>
            <wp:positionH relativeFrom="column">
              <wp:posOffset>177800</wp:posOffset>
            </wp:positionH>
            <wp:positionV relativeFrom="paragraph">
              <wp:posOffset>42545</wp:posOffset>
            </wp:positionV>
            <wp:extent cx="556260" cy="759460"/>
            <wp:effectExtent l="0" t="0" r="0" b="0"/>
            <wp:wrapNone/>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3"/>
                    <a:srcRect l="-516" t="-382" r="-516" b="-382"/>
                    <a:stretch>
                      <a:fillRect/>
                    </a:stretch>
                  </pic:blipFill>
                  <pic:spPr bwMode="auto">
                    <a:xfrm>
                      <a:off x="0" y="0"/>
                      <a:ext cx="556260" cy="759460"/>
                    </a:xfrm>
                    <a:prstGeom prst="rect">
                      <a:avLst/>
                    </a:prstGeom>
                    <a:noFill/>
                  </pic:spPr>
                </pic:pic>
              </a:graphicData>
            </a:graphic>
          </wp:anchor>
        </w:drawing>
      </w:r>
      <w:r>
        <w:rPr>
          <w:rFonts w:cs="Titillium Web" w:ascii="Titillium Web" w:hAnsi="Titillium Web"/>
          <w:b/>
          <w:sz w:val="24"/>
          <w:szCs w:val="24"/>
        </w:rPr>
        <w:t>COMUNE DI SANT’ANTIOCO</w:t>
      </w:r>
    </w:p>
    <w:p>
      <w:pPr>
        <w:pStyle w:val="Header"/>
        <w:numPr>
          <w:ilvl w:val="0"/>
          <w:numId w:val="2"/>
        </w:numPr>
        <w:spacing w:lineRule="auto" w:line="276"/>
        <w:jc w:val="center"/>
        <w:rPr>
          <w:sz w:val="24"/>
          <w:szCs w:val="24"/>
        </w:rPr>
      </w:pPr>
      <w:r>
        <w:rPr>
          <w:rFonts w:cs="Titillium Web" w:ascii="Titillium Web" w:hAnsi="Titillium Web"/>
          <w:sz w:val="24"/>
          <w:szCs w:val="24"/>
        </w:rPr>
        <w:t>Provincia del Sulcis Iglesiente</w:t>
      </w:r>
    </w:p>
    <w:p>
      <w:pPr>
        <w:pStyle w:val="Header"/>
        <w:numPr>
          <w:ilvl w:val="0"/>
          <w:numId w:val="2"/>
        </w:numPr>
        <w:spacing w:lineRule="auto" w:line="276"/>
        <w:jc w:val="both"/>
        <w:rPr>
          <w:rFonts w:ascii="Calibri" w:hAnsi="Calibri" w:cs="Calibri"/>
          <w:sz w:val="24"/>
          <w:szCs w:val="24"/>
        </w:rPr>
      </w:pPr>
      <w:r>
        <w:rPr>
          <w:rFonts w:cs="Calibri" w:ascii="Calibri" w:hAnsi="Calibri"/>
          <w:sz w:val="24"/>
          <w:szCs w:val="24"/>
        </w:rPr>
      </w:r>
    </w:p>
    <w:p>
      <w:pPr>
        <w:pStyle w:val="Header"/>
        <w:numPr>
          <w:ilvl w:val="2"/>
          <w:numId w:val="2"/>
        </w:numPr>
        <w:spacing w:lineRule="auto" w:line="276"/>
        <w:ind w:hanging="0" w:left="654" w:right="639"/>
        <w:jc w:val="center"/>
        <w:rPr>
          <w:sz w:val="24"/>
          <w:szCs w:val="24"/>
        </w:rPr>
      </w:pPr>
      <w:r>
        <w:rPr>
          <w:rFonts w:eastAsia="Times New Roman" w:cs="Calibri" w:ascii="Times New Roman" w:hAnsi="Times New Roman"/>
          <w:color w:val="auto"/>
          <w:sz w:val="24"/>
          <w:szCs w:val="24"/>
          <w:lang w:val="it-IT" w:eastAsia="zh-CN" w:bidi="ar-SA"/>
        </w:rPr>
        <w:t>ASSESSORATO POLITICHE SOCIALI</w:t>
      </w:r>
    </w:p>
    <w:p>
      <w:pPr>
        <w:pStyle w:val="Heading2"/>
        <w:numPr>
          <w:ilvl w:val="2"/>
          <w:numId w:val="2"/>
        </w:numPr>
        <w:spacing w:lineRule="auto" w:line="276"/>
        <w:ind w:hanging="0" w:left="654" w:right="639"/>
        <w:jc w:val="both"/>
        <w:rPr>
          <w:rFonts w:ascii="Times New Roman" w:hAnsi="Times New Roman"/>
          <w:sz w:val="24"/>
          <w:szCs w:val="24"/>
        </w:rPr>
      </w:pPr>
      <w:r>
        <w:rPr>
          <w:rFonts w:ascii="Times New Roman" w:hAnsi="Times New Roman"/>
          <w:sz w:val="24"/>
          <w:szCs w:val="24"/>
        </w:rPr>
      </w:r>
    </w:p>
    <w:p>
      <w:pPr>
        <w:pStyle w:val="Normal"/>
        <w:spacing w:lineRule="auto" w:line="276" w:before="57" w:after="57"/>
        <w:jc w:val="both"/>
        <w:rPr>
          <w:sz w:val="24"/>
          <w:szCs w:val="24"/>
        </w:rPr>
      </w:pPr>
      <w:r>
        <w:rPr>
          <w:sz w:val="24"/>
          <w:szCs w:val="24"/>
        </w:rPr>
      </w:r>
    </w:p>
    <w:p>
      <w:pPr>
        <w:pStyle w:val="Normal"/>
        <w:spacing w:lineRule="auto" w:line="276"/>
        <w:jc w:val="center"/>
        <w:rPr>
          <w:rFonts w:ascii="Times New Roman" w:hAnsi="Times New Roman"/>
          <w:b/>
          <w:sz w:val="24"/>
          <w:szCs w:val="24"/>
        </w:rPr>
      </w:pPr>
      <w:r>
        <w:rPr>
          <w:rFonts w:ascii="Times New Roman" w:hAnsi="Times New Roman"/>
          <w:b/>
          <w:sz w:val="24"/>
          <w:szCs w:val="24"/>
        </w:rPr>
        <w:t xml:space="preserve">APERTURA TERMINI PER LA PRESENTAZIONE DELLE DOMANDE DI AMMISSIONE AL PROGRAMMA REGIONALE REDDITO DI INCLUSIONE SOCIALE – REIS “AGIUDU TORRAU” </w:t>
      </w:r>
      <w:r>
        <w:rPr>
          <w:rFonts w:ascii="Times New Roman" w:hAnsi="Times New Roman"/>
          <w:b/>
          <w:sz w:val="24"/>
          <w:szCs w:val="24"/>
          <w:shd w:fill="auto" w:val="clear"/>
        </w:rPr>
        <w:t>2025/26 –</w:t>
      </w:r>
      <w:r>
        <w:rPr>
          <w:rFonts w:ascii="Times New Roman" w:hAnsi="Times New Roman"/>
          <w:b/>
          <w:sz w:val="24"/>
          <w:szCs w:val="24"/>
        </w:rPr>
        <w:t xml:space="preserve"> PARTE SECONDA “ALTRI INTERVENTI DI CONTRASTO ALLA POVERTA’”.</w:t>
      </w:r>
    </w:p>
    <w:p>
      <w:pPr>
        <w:pStyle w:val="Normal"/>
        <w:spacing w:lineRule="auto" w:line="276"/>
        <w:jc w:val="both"/>
        <w:rPr>
          <w:rFonts w:ascii="Times New Roman" w:hAnsi="Times New Roman"/>
          <w:b/>
          <w:sz w:val="24"/>
          <w:szCs w:val="24"/>
        </w:rPr>
      </w:pPr>
      <w:r>
        <w:rPr>
          <w:rFonts w:ascii="Times New Roman" w:hAnsi="Times New Roman"/>
          <w:b/>
          <w:sz w:val="24"/>
          <w:szCs w:val="24"/>
        </w:rPr>
      </w:r>
    </w:p>
    <w:p>
      <w:pPr>
        <w:pStyle w:val="Normal"/>
        <w:spacing w:lineRule="auto" w:line="276"/>
        <w:jc w:val="center"/>
        <w:rPr>
          <w:rFonts w:ascii="Times New Roman" w:hAnsi="Times New Roman"/>
          <w:b/>
          <w:sz w:val="24"/>
          <w:szCs w:val="24"/>
        </w:rPr>
      </w:pPr>
      <w:r>
        <w:rPr>
          <w:rFonts w:ascii="Times New Roman" w:hAnsi="Times New Roman"/>
          <w:b/>
          <w:sz w:val="24"/>
          <w:szCs w:val="24"/>
        </w:rPr>
        <w:t>IL RESPONSABILE DEL SETTORE POLITICHE SOCIALI</w:t>
      </w:r>
    </w:p>
    <w:p>
      <w:pPr>
        <w:pStyle w:val="Heading3"/>
        <w:spacing w:lineRule="auto" w:line="276"/>
        <w:jc w:val="both"/>
        <w:rPr>
          <w:rFonts w:ascii="Lora" w:hAnsi="Lora" w:eastAsia="MS Mincho" w:cs="Times New Roman"/>
          <w:b w:val="false"/>
          <w:i w:val="false"/>
          <w:caps w:val="false"/>
          <w:smallCaps w:val="false"/>
          <w:color w:val="191919"/>
          <w:spacing w:val="0"/>
          <w:sz w:val="24"/>
          <w:szCs w:val="24"/>
        </w:rPr>
      </w:pPr>
      <w:r>
        <w:rPr>
          <w:rFonts w:eastAsia="MS Mincho" w:cs="Times New Roman" w:ascii="Lora" w:hAnsi="Lora"/>
          <w:b w:val="false"/>
          <w:i w:val="false"/>
          <w:caps w:val="false"/>
          <w:smallCaps w:val="false"/>
          <w:color w:val="191919"/>
          <w:spacing w:val="0"/>
          <w:sz w:val="24"/>
          <w:szCs w:val="24"/>
        </w:rPr>
      </w:r>
    </w:p>
    <w:p>
      <w:pPr>
        <w:pStyle w:val="Normal"/>
        <w:spacing w:lineRule="auto" w:line="276"/>
        <w:jc w:val="both"/>
        <w:rPr>
          <w:rFonts w:ascii="Times New Roman" w:hAnsi="Times New Roman"/>
          <w:b/>
          <w:sz w:val="22"/>
          <w:szCs w:val="22"/>
        </w:rPr>
      </w:pPr>
      <w:r>
        <w:rPr>
          <w:rFonts w:ascii="Times New Roman" w:hAnsi="Times New Roman"/>
          <w:b/>
          <w:sz w:val="22"/>
          <w:szCs w:val="22"/>
        </w:rPr>
        <w:t>RICHIAMATI:</w:t>
      </w:r>
    </w:p>
    <w:p>
      <w:pPr>
        <w:pStyle w:val="Normal"/>
        <w:spacing w:lineRule="auto" w:line="276"/>
        <w:jc w:val="both"/>
        <w:rPr>
          <w:sz w:val="22"/>
          <w:szCs w:val="22"/>
        </w:rPr>
      </w:pPr>
      <w:r>
        <w:rPr>
          <w:rFonts w:ascii="Times New Roman" w:hAnsi="Times New Roman"/>
          <w:b/>
          <w:sz w:val="22"/>
          <w:szCs w:val="22"/>
        </w:rPr>
        <w:t xml:space="preserve">- </w:t>
      </w:r>
      <w:r>
        <w:rPr>
          <w:rFonts w:ascii="Times New Roman" w:hAnsi="Times New Roman"/>
          <w:b w:val="false"/>
          <w:bCs w:val="false"/>
          <w:sz w:val="22"/>
          <w:szCs w:val="22"/>
        </w:rPr>
        <w:t>La Legge Regionale 2 agosto 2016, n.18, con la quale la Regione Sardegna ha istituito il Reddito di inclusione sociale (REIS) quale misura specifica di contrasto all'esclusione sociale e alla povertà, ai sensi dell'articolo 33 della legge regionale 23 dicembre 2005, n. 23;</w:t>
      </w:r>
    </w:p>
    <w:p>
      <w:pPr>
        <w:pStyle w:val="Normal"/>
        <w:spacing w:lineRule="auto" w:line="276"/>
        <w:jc w:val="both"/>
        <w:rPr>
          <w:rFonts w:ascii="Times New Roman" w:hAnsi="Times New Roman"/>
          <w:b w:val="false"/>
          <w:bCs w:val="false"/>
          <w:sz w:val="22"/>
          <w:szCs w:val="22"/>
        </w:rPr>
      </w:pPr>
      <w:r>
        <w:rPr>
          <w:rFonts w:ascii="Times New Roman" w:hAnsi="Times New Roman"/>
          <w:b w:val="false"/>
          <w:bCs w:val="false"/>
          <w:sz w:val="22"/>
          <w:szCs w:val="22"/>
        </w:rPr>
        <w:t>- la Deliberazione della Giunta Regionale n. 30/55 del 05 giugno 2025 con la quale è stata approvata in via definitiva la DGR n. 16/7 del 26 marzo 2025, recante “Modifica linee guida, per il triennio 2024-2026, concernenti le modalità di attuazione del “Reddito di inclusione sociale” di cui alla L.R. n. 18/2016 e altre misure di contrasto alla povertà”;</w:t>
      </w:r>
    </w:p>
    <w:p>
      <w:pPr>
        <w:pStyle w:val="Normal"/>
        <w:spacing w:lineRule="auto" w:line="276"/>
        <w:jc w:val="both"/>
        <w:rPr>
          <w:rFonts w:ascii="Times New Roman" w:hAnsi="Times New Roman"/>
          <w:b w:val="false"/>
          <w:bCs w:val="false"/>
          <w:sz w:val="22"/>
          <w:szCs w:val="22"/>
        </w:rPr>
      </w:pPr>
      <w:r>
        <w:rPr>
          <w:rFonts w:ascii="Times New Roman" w:hAnsi="Times New Roman"/>
          <w:b w:val="false"/>
          <w:bCs w:val="false"/>
          <w:sz w:val="22"/>
          <w:szCs w:val="22"/>
          <w:shd w:fill="auto" w:val="clear"/>
        </w:rPr>
        <w:t>-la Determinazione del Responsabile del servizio-Coordinatore del PLUS Arcipelago delle Isole n. 6 del 23/03/2026 di impegno di spesa a favore dei comuni dell’Ambito delle somme derivanti parte seconda del REIS;</w:t>
      </w:r>
    </w:p>
    <w:p>
      <w:pPr>
        <w:pStyle w:val="Normal"/>
        <w:spacing w:lineRule="auto" w:line="276"/>
        <w:jc w:val="both"/>
        <w:rPr>
          <w:sz w:val="22"/>
          <w:szCs w:val="22"/>
        </w:rPr>
      </w:pPr>
      <w:r>
        <w:rPr>
          <w:rFonts w:ascii="Times New Roman" w:hAnsi="Times New Roman"/>
          <w:b w:val="false"/>
          <w:bCs w:val="false"/>
          <w:sz w:val="22"/>
          <w:szCs w:val="22"/>
        </w:rPr>
        <w:t xml:space="preserve">- La Delibera di Giunta Comunale n. _____del ____________ con la quale sono stati dati gli indirizzi operativi per la gestione dell’intervento “REIS Parte seconda – Altri interventi di contrasto alla </w:t>
      </w:r>
      <w:r>
        <w:rPr>
          <w:b w:val="false"/>
          <w:bCs w:val="false"/>
          <w:sz w:val="22"/>
          <w:szCs w:val="22"/>
        </w:rPr>
        <w:t>povertà”;</w:t>
      </w:r>
    </w:p>
    <w:p>
      <w:pPr>
        <w:pStyle w:val="Normal"/>
        <w:spacing w:lineRule="auto" w:line="276"/>
        <w:jc w:val="both"/>
        <w:rPr>
          <w:highlight w:val="none"/>
          <w:shd w:fill="FFFF00" w:val="clear"/>
        </w:rPr>
      </w:pPr>
      <w:r>
        <w:rPr>
          <w:sz w:val="22"/>
          <w:szCs w:val="22"/>
          <w:shd w:fill="FFFF00" w:val="clear"/>
        </w:rPr>
        <w:t>Vista la propria determinazione n. ____________ che approva il presente AVVISO e lo schema di domanda;</w:t>
      </w:r>
    </w:p>
    <w:p>
      <w:pPr>
        <w:pStyle w:val="Normal"/>
        <w:spacing w:lineRule="auto" w:line="276"/>
        <w:jc w:val="both"/>
        <w:rPr>
          <w:rFonts w:ascii="Times New Roman" w:hAnsi="Times New Roman"/>
          <w:sz w:val="22"/>
          <w:szCs w:val="22"/>
          <w:highlight w:val="none"/>
          <w:shd w:fill="FFFF00" w:val="clear"/>
        </w:rPr>
      </w:pPr>
      <w:r>
        <w:rPr>
          <w:rFonts w:ascii="Times New Roman" w:hAnsi="Times New Roman"/>
          <w:sz w:val="22"/>
          <w:szCs w:val="22"/>
          <w:shd w:fill="FFFF00" w:val="clear"/>
        </w:rPr>
      </w:r>
    </w:p>
    <w:p>
      <w:pPr>
        <w:pStyle w:val="Normal"/>
        <w:spacing w:lineRule="auto" w:line="276"/>
        <w:jc w:val="center"/>
        <w:rPr>
          <w:rFonts w:ascii="Times New Roman" w:hAnsi="Times New Roman"/>
          <w:b/>
          <w:bCs/>
          <w:sz w:val="22"/>
          <w:szCs w:val="22"/>
        </w:rPr>
      </w:pPr>
      <w:r>
        <w:rPr>
          <w:rFonts w:ascii="Times New Roman" w:hAnsi="Times New Roman"/>
          <w:b/>
          <w:bCs/>
          <w:sz w:val="22"/>
          <w:szCs w:val="22"/>
        </w:rPr>
        <w:t>Rende noto</w:t>
      </w:r>
    </w:p>
    <w:p>
      <w:pPr>
        <w:pStyle w:val="Normal"/>
        <w:spacing w:lineRule="auto" w:line="276"/>
        <w:jc w:val="both"/>
        <w:rPr>
          <w:rFonts w:ascii="Times New Roman" w:hAnsi="Times New Roman"/>
          <w:sz w:val="22"/>
          <w:szCs w:val="22"/>
        </w:rPr>
      </w:pPr>
      <w:r>
        <w:rPr>
          <w:rFonts w:ascii="Times New Roman" w:hAnsi="Times New Roman"/>
          <w:sz w:val="22"/>
          <w:szCs w:val="22"/>
        </w:rPr>
        <w:t>Che con decorrenza dalla pubblicazione del presente avviso, con una procedura a sportello e istruttoria mensile delle domande pervenute,  i soggetti in possesso dei requisiti di cui all’art. 2, potranno presentare domanda per ottenere i benefici previsti dal “REIS Parte Seconda - altri interventi di contrasto alla povertà”, secondo quanto disposto dal presente avviso e dalla vigente normativa in materia</w:t>
      </w:r>
      <w:r>
        <w:rPr>
          <w:rFonts w:ascii="Times New Roman" w:hAnsi="Times New Roman"/>
          <w:b/>
          <w:sz w:val="22"/>
          <w:szCs w:val="22"/>
        </w:rPr>
        <w:t>.</w:t>
      </w:r>
    </w:p>
    <w:p>
      <w:pPr>
        <w:pStyle w:val="BodyText"/>
        <w:widowControl/>
        <w:spacing w:lineRule="auto" w:line="276" w:before="0" w:after="140"/>
        <w:ind w:hanging="0" w:left="0" w:right="0"/>
        <w:jc w:val="both"/>
        <w:rPr>
          <w:rFonts w:ascii="Times New Roman" w:hAnsi="Times New Roman"/>
          <w:b w:val="false"/>
          <w:bCs w:val="false"/>
          <w:sz w:val="22"/>
          <w:szCs w:val="22"/>
          <w:highlight w:val="none"/>
          <w:shd w:fill="auto" w:val="clear"/>
        </w:rPr>
      </w:pPr>
      <w:r>
        <w:rPr>
          <w:rFonts w:ascii="Times New Roman" w:hAnsi="Times New Roman"/>
          <w:b w:val="false"/>
          <w:bCs w:val="false"/>
          <w:sz w:val="22"/>
          <w:szCs w:val="22"/>
          <w:shd w:fill="auto" w:val="clear"/>
        </w:rPr>
      </w:r>
    </w:p>
    <w:p>
      <w:pPr>
        <w:pStyle w:val="BodyText"/>
        <w:widowControl/>
        <w:spacing w:lineRule="auto" w:line="276" w:before="0" w:after="140"/>
        <w:ind w:hanging="0" w:left="0" w:right="0"/>
        <w:jc w:val="both"/>
        <w:rPr>
          <w:rFonts w:ascii="Times New Roman" w:hAnsi="Times New Roman"/>
          <w:b w:val="false"/>
          <w:bCs w:val="false"/>
          <w:sz w:val="22"/>
          <w:szCs w:val="22"/>
          <w:highlight w:val="none"/>
          <w:shd w:fill="auto" w:val="clear"/>
        </w:rPr>
      </w:pPr>
      <w:r>
        <w:rPr>
          <w:rFonts w:ascii="Times New Roman" w:hAnsi="Times New Roman"/>
          <w:b w:val="false"/>
          <w:bCs w:val="false"/>
          <w:sz w:val="22"/>
          <w:szCs w:val="22"/>
          <w:shd w:fill="auto" w:val="clear"/>
        </w:rPr>
        <w:t>ART. 1 OGGETTO</w:t>
      </w:r>
    </w:p>
    <w:p>
      <w:pPr>
        <w:pStyle w:val="BodyText"/>
        <w:widowControl/>
        <w:spacing w:lineRule="auto" w:line="276" w:before="0" w:after="140"/>
        <w:ind w:hanging="0" w:left="0" w:right="0"/>
        <w:jc w:val="both"/>
        <w:rPr>
          <w:rFonts w:ascii="Arial" w:hAnsi="Arial"/>
          <w:b w:val="false"/>
          <w:bCs w:val="false"/>
          <w:sz w:val="22"/>
          <w:szCs w:val="22"/>
          <w:highlight w:val="none"/>
          <w:shd w:fill="auto" w:val="clear"/>
        </w:rPr>
      </w:pPr>
      <w:r>
        <w:rPr>
          <w:rFonts w:ascii="Times New Roman" w:hAnsi="Times New Roman"/>
          <w:b w:val="false"/>
          <w:bCs w:val="false"/>
          <w:sz w:val="22"/>
          <w:szCs w:val="22"/>
          <w:shd w:fill="auto" w:val="clear"/>
        </w:rPr>
        <w:t>La Regione Sardegna attraverso il REIS “Parte Seconda - Altri  interventi di contrasto alla povertà”, con Delibera della Giunta Regionale n. 46/36 del 22.12.2023, n. 4/39 del 15 febbraio 2024 e n. 30/55</w:t>
      </w:r>
      <w:r>
        <w:rPr>
          <w:rFonts w:ascii="Arial" w:hAnsi="Arial"/>
          <w:b w:val="false"/>
          <w:bCs w:val="false"/>
          <w:sz w:val="22"/>
          <w:szCs w:val="22"/>
          <w:shd w:fill="auto" w:val="clear"/>
        </w:rPr>
        <w:t xml:space="preserve"> </w:t>
      </w:r>
      <w:r>
        <w:rPr>
          <w:rFonts w:ascii="Times New Roman" w:hAnsi="Times New Roman"/>
          <w:b w:val="false"/>
          <w:bCs w:val="false"/>
          <w:sz w:val="22"/>
          <w:szCs w:val="22"/>
          <w:shd w:fill="auto" w:val="clear"/>
        </w:rPr>
        <w:t>del 5 giugno 2025, stabilisce che in caso di mancata ammissione al REIS PARTE PRIMA le Amministrazioni comunali possono erogare un sostegno economico, in forma straordinaria, in favore di nuclei in condizioni di significativa fragilità socioeconomica di emarginazione e di vulnerabilità, attestate dai Servizi Sociali professionali competenti. Il sussidio economico verrà erogato fino all’esaurimento dei fondi assegnati al Comune di Sant’Antioco, come previsto dalle linee guida sopra citate.</w:t>
      </w:r>
    </w:p>
    <w:p>
      <w:pPr>
        <w:pStyle w:val="BodyText"/>
        <w:widowControl/>
        <w:spacing w:lineRule="auto" w:line="276" w:before="0" w:after="140"/>
        <w:ind w:hanging="0" w:left="0" w:right="0"/>
        <w:jc w:val="both"/>
        <w:rPr>
          <w:rFonts w:ascii="Arial" w:hAnsi="Arial"/>
          <w:b w:val="false"/>
          <w:bCs w:val="false"/>
          <w:sz w:val="22"/>
          <w:szCs w:val="22"/>
          <w:highlight w:val="none"/>
          <w:shd w:fill="auto" w:val="clear"/>
        </w:rPr>
      </w:pPr>
      <w:r>
        <w:rPr>
          <w:rFonts w:ascii="Arial" w:hAnsi="Arial"/>
          <w:b w:val="false"/>
          <w:bCs w:val="false"/>
          <w:sz w:val="22"/>
          <w:szCs w:val="22"/>
          <w:shd w:fill="auto" w:val="clear"/>
        </w:rPr>
      </w:r>
    </w:p>
    <w:p>
      <w:pPr>
        <w:pStyle w:val="BodyText"/>
        <w:widowControl/>
        <w:spacing w:lineRule="auto" w:line="276" w:before="0" w:after="140"/>
        <w:ind w:hanging="0" w:left="0" w:right="0"/>
        <w:jc w:val="both"/>
        <w:rPr>
          <w:rFonts w:ascii="Arial" w:hAnsi="Arial"/>
          <w:b w:val="false"/>
          <w:bCs w:val="false"/>
          <w:sz w:val="22"/>
          <w:szCs w:val="22"/>
          <w:highlight w:val="none"/>
          <w:shd w:fill="auto" w:val="clear"/>
        </w:rPr>
      </w:pPr>
      <w:r>
        <w:rPr>
          <w:rFonts w:ascii="Arial" w:hAnsi="Arial"/>
          <w:b w:val="false"/>
          <w:bCs w:val="false"/>
          <w:sz w:val="22"/>
          <w:szCs w:val="22"/>
          <w:shd w:fill="auto" w:val="clear"/>
        </w:rPr>
        <w:t>Art. 2 - REQUISITI DI ACCESSO</w:t>
      </w:r>
    </w:p>
    <w:p>
      <w:pPr>
        <w:pStyle w:val="BodyText"/>
        <w:widowControl/>
        <w:spacing w:lineRule="auto" w:line="276" w:before="0" w:after="140"/>
        <w:ind w:hanging="0" w:left="0" w:right="0"/>
        <w:jc w:val="both"/>
        <w:rPr>
          <w:sz w:val="22"/>
          <w:szCs w:val="22"/>
        </w:rPr>
      </w:pPr>
      <w:r>
        <w:rPr>
          <w:rFonts w:ascii="Times New Roman" w:hAnsi="Times New Roman"/>
          <w:b w:val="false"/>
          <w:bCs w:val="false"/>
          <w:sz w:val="22"/>
          <w:szCs w:val="22"/>
          <w:shd w:fill="auto" w:val="clear"/>
        </w:rPr>
        <w:t>I destinatari degli interventi economici sono le persone e le famiglie residenti e domiciliate nel Comune di Sant’Antioco, di cui almeno un componente sia residente da almeno 24 mesi nel territorio della Regione Sardegna (per gli emigrati di ritorno e per i loro nuclei familiari, si prescinde dal requisito della residenza protratta per 24 mesi), che si trovano in una situazione di disagio socio-economico, comprese le famiglie che si rivolgono per la prima volta ai servizi sociali.</w:t>
      </w:r>
    </w:p>
    <w:p>
      <w:pPr>
        <w:pStyle w:val="BodyText"/>
        <w:widowControl/>
        <w:spacing w:lineRule="auto" w:line="276" w:before="0" w:after="140"/>
        <w:ind w:hanging="0" w:left="0" w:right="0"/>
        <w:jc w:val="both"/>
        <w:rPr>
          <w:sz w:val="22"/>
          <w:szCs w:val="22"/>
        </w:rPr>
      </w:pPr>
      <w:r>
        <w:rPr>
          <w:rFonts w:ascii="Times New Roman" w:hAnsi="Times New Roman"/>
          <w:b w:val="false"/>
          <w:bCs w:val="false"/>
          <w:sz w:val="22"/>
          <w:szCs w:val="22"/>
          <w:shd w:fill="auto" w:val="clear"/>
        </w:rPr>
        <w:t xml:space="preserve"> </w:t>
      </w:r>
      <w:r>
        <w:rPr>
          <w:rFonts w:ascii="Times New Roman" w:hAnsi="Times New Roman"/>
          <w:b w:val="false"/>
          <w:bCs w:val="false"/>
          <w:sz w:val="22"/>
          <w:szCs w:val="22"/>
          <w:u w:val="single"/>
          <w:shd w:fill="auto" w:val="clear"/>
        </w:rPr>
        <w:t xml:space="preserve">La valutazione dello stato di bisogno da parte del Servizio sociale comunale, nel pieno rispetto della propria autonomia tecnico-professionale, avverrà sia tenendo conto della condizione socio- economica di base per un valore massimo pari a euro 15.000 di ISEE, sia attraverso la valutazione di fattori aggravanti la condizione di bisogno </w:t>
      </w:r>
      <w:r>
        <w:rPr>
          <w:rFonts w:ascii="Times New Roman" w:hAnsi="Times New Roman"/>
          <w:b w:val="false"/>
          <w:bCs w:val="false"/>
          <w:sz w:val="22"/>
          <w:szCs w:val="22"/>
          <w:shd w:fill="auto" w:val="clear"/>
        </w:rPr>
        <w:t>che tengano conto, a titolo esemplificativo:</w:t>
      </w:r>
    </w:p>
    <w:p>
      <w:pPr>
        <w:pStyle w:val="BodyText"/>
        <w:widowControl/>
        <w:spacing w:lineRule="auto" w:line="276" w:before="0" w:after="140"/>
        <w:ind w:hanging="0" w:left="0" w:right="0"/>
        <w:jc w:val="both"/>
        <w:rPr>
          <w:rFonts w:ascii="Times New Roman" w:hAnsi="Times New Roman"/>
          <w:b w:val="false"/>
          <w:bCs w:val="false"/>
          <w:sz w:val="22"/>
          <w:szCs w:val="22"/>
          <w:highlight w:val="none"/>
          <w:shd w:fill="auto" w:val="clear"/>
        </w:rPr>
      </w:pPr>
      <w:r>
        <w:rPr>
          <w:rFonts w:ascii="Times New Roman" w:hAnsi="Times New Roman"/>
          <w:b w:val="false"/>
          <w:bCs w:val="false"/>
          <w:sz w:val="22"/>
          <w:szCs w:val="22"/>
          <w:shd w:fill="auto" w:val="clear"/>
        </w:rPr>
        <w:t xml:space="preserve">– </w:t>
      </w:r>
      <w:r>
        <w:rPr>
          <w:rFonts w:ascii="Times New Roman" w:hAnsi="Times New Roman"/>
          <w:b w:val="false"/>
          <w:bCs w:val="false"/>
          <w:sz w:val="22"/>
          <w:szCs w:val="22"/>
          <w:shd w:fill="auto" w:val="clear"/>
        </w:rPr>
        <w:t>della perdita del lavoro e/o riduzione consistente del proprio reddito familiare non attestabile dall’ISEE corrente;</w:t>
      </w:r>
    </w:p>
    <w:p>
      <w:pPr>
        <w:pStyle w:val="BodyText"/>
        <w:widowControl/>
        <w:spacing w:lineRule="auto" w:line="276" w:before="0" w:after="140"/>
        <w:ind w:hanging="0" w:left="0" w:right="0"/>
        <w:jc w:val="both"/>
        <w:rPr>
          <w:sz w:val="22"/>
          <w:szCs w:val="22"/>
        </w:rPr>
      </w:pPr>
      <w:r>
        <w:rPr>
          <w:rFonts w:ascii="Times New Roman" w:hAnsi="Times New Roman"/>
          <w:b w:val="false"/>
          <w:bCs w:val="false"/>
          <w:sz w:val="22"/>
          <w:szCs w:val="22"/>
          <w:shd w:fill="auto" w:val="clear"/>
        </w:rPr>
        <w:t xml:space="preserve">– </w:t>
      </w:r>
      <w:r>
        <w:rPr>
          <w:rFonts w:ascii="Times New Roman" w:hAnsi="Times New Roman"/>
          <w:b w:val="false"/>
          <w:bCs w:val="false"/>
          <w:sz w:val="22"/>
          <w:szCs w:val="22"/>
          <w:shd w:fill="auto" w:val="clear"/>
        </w:rPr>
        <w:t xml:space="preserve">della situazione sanitaria precaria, in assenza o attesa dei relativi benefici economici, con particolare </w:t>
      </w:r>
      <w:r>
        <w:rPr>
          <w:rFonts w:ascii="Times New Roman" w:hAnsi="Times New Roman"/>
          <w:sz w:val="22"/>
          <w:szCs w:val="22"/>
        </w:rPr>
        <w:t>attenzione ai pazienti dimessi</w:t>
      </w:r>
      <w:r>
        <w:rPr>
          <w:rFonts w:ascii="Arial" w:hAnsi="Arial"/>
          <w:sz w:val="22"/>
          <w:szCs w:val="22"/>
        </w:rPr>
        <w:t xml:space="preserve"> </w:t>
      </w:r>
      <w:r>
        <w:rPr>
          <w:rFonts w:ascii="Times New Roman" w:hAnsi="Times New Roman"/>
          <w:sz w:val="22"/>
          <w:szCs w:val="22"/>
        </w:rPr>
        <w:t>dall’ospedale che hanno perso la propria autosufficienza e necessitano di assistenza domiciliare;</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le persone ricoverate e/o dimesse dall’ospedale che devono prendersi cura di un congiunto non autosufficiente o, nel caso di disabili, i minorenni/maggiorenni non capaci di provvedere a loro stessi e assistiti da parenti, per malattia o decesso dei genitori;</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della situazione abitativa incerta (rischio di sfratto, coabitazione, usufrutto temporaneo, difficoltà a sostenere le spese del canone di locazione o del mutuo, difficoltà a sostenere il pagamento delle utenze domestiche, ecc.);</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di situazioni di emarginazione sociale, o condizione di rischio sociale correlata a dipendenze, problematiche giudiziarie, ecc.;</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della presenza di minori e/o anziani non autosufficienti;</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dell’assenza di relazioni parentali considerabili “risorse” (familiari civilmente obbligati ex articolo 433 c.c.);</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e comunque di ogni altro elemento di disagio aggravante la situazione di bisogno, valutato nel pieno rispetto della propria autonomia tecnico-professionale.</w:t>
      </w:r>
    </w:p>
    <w:p>
      <w:pPr>
        <w:pStyle w:val="BodyText"/>
        <w:widowControl/>
        <w:spacing w:lineRule="auto" w:line="276" w:before="0" w:after="140"/>
        <w:ind w:hanging="0" w:left="0" w:right="0"/>
        <w:jc w:val="both"/>
        <w:rPr>
          <w:highlight w:val="none"/>
          <w:shd w:fill="FFFF00" w:val="clear"/>
        </w:rPr>
      </w:pPr>
      <w:r>
        <w:rPr>
          <w:rFonts w:ascii="Times New Roman" w:hAnsi="Times New Roman"/>
          <w:sz w:val="22"/>
          <w:szCs w:val="22"/>
          <w:shd w:fill="FFFF00" w:val="clear"/>
        </w:rPr>
        <w:t>Come stabilito nella Deliberazione G.C. n_______del ______________ verrà data priorità:</w:t>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 al supporto di giovani under 35 anni per la prosecuzione, ripresa o avvio  del percorso scolastico e/o di formazione professionale finalizzato a facilitare l’ingresso nel mondo del lavoro;</w:t>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 al supporto di donne vittime di violenza domestica per favorire la fuoriuscita dal nucleo familiare maltrattante nell’attesa dell’attivazione di altre misure di supporto;</w:t>
      </w:r>
    </w:p>
    <w:p>
      <w:pPr>
        <w:pStyle w:val="BodyText"/>
        <w:widowControl/>
        <w:tabs>
          <w:tab w:val="clear" w:pos="708"/>
          <w:tab w:val="left" w:pos="0" w:leader="none"/>
        </w:tabs>
        <w:spacing w:lineRule="auto" w:line="360" w:before="0" w:after="0"/>
        <w:ind w:hanging="0" w:left="0" w:right="0"/>
        <w:jc w:val="both"/>
        <w:rPr>
          <w:rFonts w:ascii="Arial" w:hAnsi="Arial"/>
          <w:b w:val="false"/>
          <w:bCs/>
          <w:i w:val="false"/>
          <w:caps w:val="false"/>
          <w:smallCaps w:val="false"/>
          <w:color w:val="191919"/>
          <w:spacing w:val="0"/>
          <w:sz w:val="20"/>
          <w:szCs w:val="20"/>
        </w:rPr>
      </w:pPr>
      <w:r>
        <w:rPr>
          <w:rFonts w:ascii="Arial" w:hAnsi="Arial"/>
          <w:b w:val="false"/>
          <w:bCs/>
          <w:i w:val="false"/>
          <w:caps w:val="false"/>
          <w:smallCaps w:val="false"/>
          <w:color w:val="191919"/>
          <w:spacing w:val="0"/>
          <w:sz w:val="20"/>
          <w:szCs w:val="20"/>
        </w:rPr>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-al supporto di adulti affetti da patologie mentali riconosciute di recente o in corso di certificazione che vivono soli in attesa della definizione degli aspetti pensionistici e di accesso alle provvidenze regionali;</w:t>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-al supporto d nuclei privi di reti familiari e sociali di riferimento in situazione di isolamento sociale aggravata da precarie condizioni socio-sanitarie.</w:t>
      </w:r>
    </w:p>
    <w:p>
      <w:pPr>
        <w:pStyle w:val="BodyText"/>
        <w:widowControl/>
        <w:tabs>
          <w:tab w:val="clear" w:pos="708"/>
          <w:tab w:val="left" w:pos="0" w:leader="none"/>
        </w:tabs>
        <w:spacing w:lineRule="auto" w:line="360" w:before="0" w:after="0"/>
        <w:ind w:hanging="0" w:left="0" w:right="0"/>
        <w:jc w:val="both"/>
        <w:rPr>
          <w:rFonts w:ascii="Arial" w:hAnsi="Arial"/>
          <w:b w:val="false"/>
          <w:bCs/>
          <w:i w:val="false"/>
          <w:caps w:val="false"/>
          <w:smallCaps w:val="false"/>
          <w:color w:val="191919"/>
          <w:spacing w:val="0"/>
          <w:sz w:val="20"/>
          <w:szCs w:val="20"/>
        </w:rPr>
      </w:pPr>
      <w:r>
        <w:rPr>
          <w:rFonts w:ascii="Arial" w:hAnsi="Arial"/>
          <w:b w:val="false"/>
          <w:bCs/>
          <w:i w:val="false"/>
          <w:caps w:val="false"/>
          <w:smallCaps w:val="false"/>
          <w:color w:val="191919"/>
          <w:spacing w:val="0"/>
          <w:sz w:val="20"/>
          <w:szCs w:val="20"/>
        </w:rPr>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La durata di erogazione non potrà superare quella prevista per il REIS di cui alla Parte prima delle Linee guida triennio 2024 – 2026. Il valore massimo erogabile per ciascuna istanza sarà pari a euro 200 moltiplicato la scala di equivalenza ai fini ISEE senza maggiorazioni, come specificato nella seguente tabella:</w:t>
      </w:r>
    </w:p>
    <w:tbl>
      <w:tblPr>
        <w:tblW w:w="5000" w:type="pct"/>
        <w:jc w:val="left"/>
        <w:tblInd w:w="55" w:type="dxa"/>
        <w:tblLayout w:type="fixed"/>
        <w:tblCellMar>
          <w:top w:w="55" w:type="dxa"/>
          <w:left w:w="55" w:type="dxa"/>
          <w:bottom w:w="55" w:type="dxa"/>
          <w:right w:w="55" w:type="dxa"/>
        </w:tblCellMar>
      </w:tblPr>
      <w:tblGrid>
        <w:gridCol w:w="3324"/>
        <w:gridCol w:w="3324"/>
        <w:gridCol w:w="3324"/>
      </w:tblGrid>
      <w:tr>
        <w:trPr/>
        <w:tc>
          <w:tcPr>
            <w:tcW w:w="3324" w:type="dxa"/>
            <w:tcBorders>
              <w:top w:val="single" w:sz="4" w:space="0" w:color="000000"/>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N. Componenti</w:t>
            </w:r>
          </w:p>
        </w:tc>
        <w:tc>
          <w:tcPr>
            <w:tcW w:w="3324" w:type="dxa"/>
            <w:tcBorders>
              <w:top w:val="single" w:sz="4" w:space="0" w:color="000000"/>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Scala di Equivalenza</w:t>
            </w:r>
          </w:p>
        </w:tc>
        <w:tc>
          <w:tcPr>
            <w:tcW w:w="3324" w:type="dxa"/>
            <w:tcBorders>
              <w:top w:val="single" w:sz="4" w:space="0" w:color="000000"/>
              <w:left w:val="single" w:sz="4" w:space="0" w:color="000000"/>
              <w:bottom w:val="single" w:sz="4" w:space="0" w:color="000000"/>
              <w:right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Importo mensile</w:t>
            </w:r>
          </w:p>
        </w:tc>
      </w:tr>
      <w:tr>
        <w:trPr/>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1</w:t>
            </w:r>
          </w:p>
        </w:tc>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1</w:t>
            </w:r>
          </w:p>
        </w:tc>
        <w:tc>
          <w:tcPr>
            <w:tcW w:w="3324" w:type="dxa"/>
            <w:tcBorders>
              <w:left w:val="single" w:sz="4" w:space="0" w:color="000000"/>
              <w:bottom w:val="single" w:sz="4" w:space="0" w:color="000000"/>
              <w:right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200,00</w:t>
            </w:r>
          </w:p>
        </w:tc>
      </w:tr>
      <w:tr>
        <w:trPr/>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w:t>
            </w:r>
          </w:p>
        </w:tc>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1,57</w:t>
            </w:r>
          </w:p>
        </w:tc>
        <w:tc>
          <w:tcPr>
            <w:tcW w:w="3324" w:type="dxa"/>
            <w:tcBorders>
              <w:left w:val="single" w:sz="4" w:space="0" w:color="000000"/>
              <w:bottom w:val="single" w:sz="4" w:space="0" w:color="000000"/>
              <w:right w:val="single" w:sz="4" w:space="0" w:color="000000"/>
            </w:tcBorders>
          </w:tcPr>
          <w:p>
            <w:pPr>
              <w:pStyle w:val="Contenutotabellauser"/>
              <w:jc w:val="left"/>
              <w:rPr>
                <w:rFonts w:ascii="Liberation Serif" w:hAnsi="Liberation Serif"/>
                <w:b w:val="false"/>
                <w:bCs w:val="false"/>
                <w:i w:val="false"/>
                <w:iCs w:val="false"/>
                <w:strike w:val="false"/>
                <w:dstrike w:val="false"/>
                <w:outline w:val="false"/>
                <w:shadow w:val="false"/>
                <w:color w:val="000000"/>
                <w:sz w:val="24"/>
                <w:szCs w:val="24"/>
                <w:u w:val="none"/>
              </w:rPr>
            </w:pPr>
            <w:r>
              <w:rPr/>
              <w:t xml:space="preserve">€ </w:t>
            </w:r>
            <w:r>
              <w:rPr/>
              <w:t>314,00</w:t>
            </w:r>
          </w:p>
        </w:tc>
      </w:tr>
      <w:tr>
        <w:trPr/>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3</w:t>
            </w:r>
          </w:p>
        </w:tc>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2,04</w:t>
            </w:r>
          </w:p>
        </w:tc>
        <w:tc>
          <w:tcPr>
            <w:tcW w:w="3324" w:type="dxa"/>
            <w:tcBorders>
              <w:left w:val="single" w:sz="4" w:space="0" w:color="000000"/>
              <w:bottom w:val="single" w:sz="4" w:space="0" w:color="000000"/>
              <w:right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408,00</w:t>
            </w:r>
          </w:p>
        </w:tc>
      </w:tr>
      <w:tr>
        <w:trPr/>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4</w:t>
            </w:r>
          </w:p>
        </w:tc>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2,46</w:t>
            </w:r>
          </w:p>
        </w:tc>
        <w:tc>
          <w:tcPr>
            <w:tcW w:w="3324" w:type="dxa"/>
            <w:tcBorders>
              <w:left w:val="single" w:sz="4" w:space="0" w:color="000000"/>
              <w:bottom w:val="single" w:sz="4" w:space="0" w:color="000000"/>
              <w:right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492,00</w:t>
            </w:r>
          </w:p>
        </w:tc>
      </w:tr>
      <w:tr>
        <w:trPr/>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5</w:t>
            </w:r>
          </w:p>
        </w:tc>
        <w:tc>
          <w:tcPr>
            <w:tcW w:w="3324" w:type="dxa"/>
            <w:tcBorders>
              <w:left w:val="single" w:sz="4" w:space="0" w:color="000000"/>
              <w:bottom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2,85</w:t>
            </w:r>
          </w:p>
        </w:tc>
        <w:tc>
          <w:tcPr>
            <w:tcW w:w="3324" w:type="dxa"/>
            <w:tcBorders>
              <w:left w:val="single" w:sz="4" w:space="0" w:color="000000"/>
              <w:bottom w:val="single" w:sz="4" w:space="0" w:color="000000"/>
              <w:right w:val="single" w:sz="4" w:space="0" w:color="000000"/>
            </w:tcBorders>
          </w:tcPr>
          <w:p>
            <w:pPr>
              <w:pStyle w:val="Contenutotabellauser"/>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570,00</w:t>
            </w:r>
          </w:p>
        </w:tc>
      </w:tr>
    </w:tbl>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u w:val="single"/>
        </w:rPr>
      </w:pPr>
      <w:r>
        <w:rPr>
          <w:rFonts w:ascii="Times New Roman" w:hAnsi="Times New Roman"/>
          <w:b/>
          <w:bCs/>
          <w:sz w:val="22"/>
          <w:szCs w:val="22"/>
          <w:u w:val="single"/>
        </w:rPr>
        <w:t>La tabella riporta gli importi massimi attribuibili a ciascuna istanza. L’importo effettivo del contributo potrebbe variare sulla base della valutazione compiuta dal servizio sociale professionale all’atto della presa in carico tenendo conto della situazione specifica di ciascun nucleo.</w:t>
      </w:r>
    </w:p>
    <w:p>
      <w:pPr>
        <w:pStyle w:val="BodyText"/>
        <w:widowControl/>
        <w:spacing w:lineRule="auto" w:line="276" w:before="0" w:after="140"/>
        <w:ind w:hanging="0" w:left="0" w:right="0"/>
        <w:jc w:val="both"/>
        <w:rPr>
          <w:sz w:val="22"/>
          <w:szCs w:val="22"/>
        </w:rPr>
      </w:pPr>
      <w:r>
        <w:rPr>
          <w:rFonts w:ascii="Times New Roman" w:hAnsi="Times New Roman"/>
          <w:sz w:val="22"/>
          <w:szCs w:val="22"/>
        </w:rPr>
        <w:t>Al fine di consentire l’accesso alla misura anche a quelle famiglie che nel periodo recente hanno visto peggiorare la propria condizione socio-economica e che tuttavia non vi accederebbero se utilizzassero l’ISEE ordinario, può essere utilizzato anche l’ISEE corrente fermi restando i requisiti di accesso di cui sopra.</w:t>
      </w:r>
    </w:p>
    <w:p>
      <w:pPr>
        <w:pStyle w:val="BodyText"/>
        <w:widowControl/>
        <w:spacing w:lineRule="auto" w:line="276" w:before="0" w:after="140"/>
        <w:ind w:hanging="0" w:left="0" w:right="0"/>
        <w:jc w:val="both"/>
        <w:rPr>
          <w:sz w:val="22"/>
          <w:szCs w:val="22"/>
        </w:rPr>
      </w:pPr>
      <w:r>
        <w:rPr>
          <w:rFonts w:ascii="Times New Roman" w:hAnsi="Times New Roman"/>
          <w:sz w:val="22"/>
          <w:szCs w:val="22"/>
          <w:u w:val="single"/>
        </w:rPr>
        <w:t>La domanda di accesso al REIS parte seconda deve essere preceduta dalla presentazione della domanda di Assegno di inclusione (ADI)</w:t>
      </w:r>
      <w:r>
        <w:rPr>
          <w:rFonts w:ascii="Times New Roman" w:hAnsi="Times New Roman"/>
          <w:sz w:val="22"/>
          <w:szCs w:val="22"/>
        </w:rPr>
        <w:t>, nel caso in cui il nucleo richiedente possegga i requisiti di accesso alla Misura nazionale. I richiedenti devono sempre</w:t>
      </w:r>
      <w:r>
        <w:rPr>
          <w:sz w:val="22"/>
          <w:szCs w:val="22"/>
        </w:rPr>
        <w:t xml:space="preserve"> dimostrare di aver fatto domanda ADI con rigetto dell’istanza.</w:t>
      </w:r>
    </w:p>
    <w:p>
      <w:pPr>
        <w:pStyle w:val="BodyText"/>
        <w:widowControl/>
        <w:spacing w:lineRule="auto" w:line="276" w:before="0" w:after="140"/>
        <w:ind w:hanging="0" w:left="0" w:right="0"/>
        <w:jc w:val="both"/>
        <w:rPr>
          <w:sz w:val="22"/>
          <w:szCs w:val="22"/>
          <w:u w:val="single"/>
        </w:rPr>
      </w:pPr>
      <w:r>
        <w:rPr>
          <w:sz w:val="22"/>
          <w:szCs w:val="22"/>
          <w:u w:val="single"/>
        </w:rPr>
        <w:t>Non possono accedere al REIS parte seconda coloro che, pur avendo i requisiti per l’accesso all’assegno di inclusione, non abbiano presentato domanda o ne abbiano chiesto volontariamente la revoca.</w:t>
      </w:r>
    </w:p>
    <w:p>
      <w:pPr>
        <w:pStyle w:val="BodyText"/>
        <w:widowControl/>
        <w:spacing w:lineRule="auto" w:line="276" w:before="0" w:after="140"/>
        <w:ind w:hanging="0" w:left="0" w:right="0"/>
        <w:jc w:val="both"/>
        <w:rPr>
          <w:sz w:val="22"/>
          <w:szCs w:val="22"/>
        </w:rPr>
      </w:pPr>
      <w:r>
        <w:rPr>
          <w:sz w:val="22"/>
          <w:szCs w:val="22"/>
        </w:rPr>
        <w:t xml:space="preserve">In caso di nuclei con minori, la domanda di accesso al REIS parte seconda è condizionata alla preventiva presentazione della domanda di Assegno Unico Universale (AUU) o all’esserne già beneficiari. </w:t>
      </w:r>
    </w:p>
    <w:p>
      <w:pPr>
        <w:pStyle w:val="BodyText"/>
        <w:widowControl/>
        <w:spacing w:lineRule="auto" w:line="276" w:before="0" w:after="140"/>
        <w:ind w:hanging="0" w:left="0" w:right="0"/>
        <w:jc w:val="both"/>
        <w:rPr>
          <w:sz w:val="22"/>
          <w:szCs w:val="22"/>
        </w:rPr>
      </w:pPr>
      <w:r>
        <w:rPr>
          <w:sz w:val="22"/>
          <w:szCs w:val="22"/>
        </w:rPr>
        <w:t>Non possono accedere al REIS parte seconda i nuclei che risiedono o sono ospitati presso strutture con costi a totale carico delle Pubbliche Amministrazioni.</w:t>
      </w:r>
    </w:p>
    <w:p>
      <w:pPr>
        <w:pStyle w:val="BodyText"/>
        <w:widowControl/>
        <w:spacing w:lineRule="auto" w:line="276" w:before="0" w:after="140"/>
        <w:ind w:hanging="0" w:left="0" w:right="0"/>
        <w:jc w:val="both"/>
        <w:rPr>
          <w:sz w:val="22"/>
          <w:szCs w:val="22"/>
        </w:rPr>
      </w:pPr>
      <w:r>
        <w:rPr>
          <w:sz w:val="22"/>
          <w:szCs w:val="22"/>
        </w:rPr>
        <w:t>Non possono accedere al REIS parte seconda coloro che sono risultati idonei nella graduatoria REIS parte I approvata con Determinazione Dirigenziale n. 460/2026;</w:t>
      </w:r>
    </w:p>
    <w:p>
      <w:pPr>
        <w:pStyle w:val="BodyText"/>
        <w:widowControl/>
        <w:spacing w:lineRule="auto" w:line="276" w:before="0" w:after="140"/>
        <w:ind w:hanging="0" w:left="0" w:right="0"/>
        <w:jc w:val="both"/>
        <w:rPr>
          <w:sz w:val="22"/>
          <w:szCs w:val="22"/>
        </w:rPr>
      </w:pPr>
      <w:r>
        <w:rPr>
          <w:sz w:val="22"/>
          <w:szCs w:val="22"/>
        </w:rPr>
        <w:t>Non possono accedere al REIS coloro che stanno svolgendo o saranno chiamati a svolgere il Cantiere Lavoras.</w:t>
      </w:r>
    </w:p>
    <w:p>
      <w:pPr>
        <w:pStyle w:val="BodyText"/>
        <w:widowControl/>
        <w:spacing w:lineRule="auto" w:line="276" w:before="0" w:after="140"/>
        <w:ind w:hanging="0" w:left="0" w:right="0"/>
        <w:jc w:val="both"/>
        <w:rPr>
          <w:sz w:val="22"/>
          <w:szCs w:val="22"/>
        </w:rPr>
      </w:pPr>
      <w:r>
        <w:rPr>
          <w:sz w:val="22"/>
          <w:szCs w:val="22"/>
        </w:rPr>
        <w:t>Il REIS parte seconda è compatibile con il Supporto per la formazione e il lavoro (SFL) e con l’Assegno Unico Universale (AUU ).</w:t>
      </w:r>
    </w:p>
    <w:p>
      <w:pPr>
        <w:pStyle w:val="BodyText"/>
        <w:widowControl/>
        <w:spacing w:lineRule="auto" w:line="276" w:before="0" w:after="140"/>
        <w:ind w:hanging="0" w:left="0" w:right="0"/>
        <w:jc w:val="both"/>
        <w:rPr>
          <w:sz w:val="22"/>
          <w:szCs w:val="22"/>
        </w:rPr>
      </w:pPr>
      <w:r>
        <w:rPr>
          <w:sz w:val="22"/>
          <w:szCs w:val="22"/>
        </w:rPr>
        <w:t>Art. 3 - MODALITÀ DI EROGAZIONE DEL SUSSIDIO ECONOMICO</w:t>
      </w:r>
    </w:p>
    <w:p>
      <w:pPr>
        <w:pStyle w:val="Default"/>
        <w:widowControl/>
        <w:spacing w:lineRule="auto" w:line="276" w:before="0" w:after="140"/>
        <w:ind w:hanging="0" w:left="0" w:right="0"/>
        <w:jc w:val="both"/>
        <w:rPr>
          <w:rFonts w:ascii="Cambria" w:hAnsi="Cambria"/>
          <w:sz w:val="22"/>
          <w:szCs w:val="22"/>
        </w:rPr>
      </w:pPr>
      <w:r>
        <w:rPr>
          <w:rFonts w:ascii="Cambria" w:hAnsi="Cambria"/>
          <w:sz w:val="22"/>
          <w:szCs w:val="22"/>
        </w:rPr>
        <w:t xml:space="preserve">L’ammissione al contributo economico avverrà sia tenendo conto della condizione socio-economica deducibile dall’ISEE, sia attraverso la valutazione dello stato di bisogno da parte del Servizio Sociale comunale, </w:t>
      </w:r>
      <w:r>
        <w:rPr>
          <w:rFonts w:ascii="Cambria" w:hAnsi="Cambria"/>
          <w:b w:val="false"/>
          <w:bCs w:val="false"/>
          <w:sz w:val="22"/>
          <w:szCs w:val="22"/>
          <w:shd w:fill="auto" w:val="clear"/>
        </w:rPr>
        <w:t xml:space="preserve">nel pieno rispetto della propria autonomia tecnico-professionale,  </w:t>
      </w:r>
      <w:r>
        <w:rPr>
          <w:rFonts w:ascii="Cambria" w:hAnsi="Cambria"/>
          <w:sz w:val="22"/>
          <w:szCs w:val="22"/>
        </w:rPr>
        <w:t xml:space="preserve">nonché dei fattori aggravanti la condizione di bisogno. </w:t>
      </w:r>
    </w:p>
    <w:p>
      <w:pPr>
        <w:pStyle w:val="Default"/>
        <w:widowControl/>
        <w:spacing w:lineRule="auto" w:line="276" w:before="0" w:after="140"/>
        <w:ind w:hanging="0" w:left="0" w:right="0"/>
        <w:jc w:val="both"/>
        <w:rPr>
          <w:b/>
          <w:bCs/>
          <w:u w:val="single"/>
        </w:rPr>
      </w:pPr>
      <w:r>
        <w:rPr>
          <w:rFonts w:ascii="Cambria" w:hAnsi="Cambria"/>
          <w:b/>
          <w:bCs/>
          <w:i w:val="false"/>
          <w:iCs w:val="false"/>
          <w:sz w:val="22"/>
          <w:szCs w:val="22"/>
          <w:u w:val="single"/>
        </w:rPr>
        <w:t>Per ogni nucleo familiare si procederà alla predisposizione e condivisione di un progetto  di supporto finalizzato alla fuoriuscita dalla situazione di bisogno, che comprenderà anche modalità e tempi di erogazione del sussidio.</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4 - PRESENTAZIONE DELLE DOMANDE</w:t>
      </w:r>
    </w:p>
    <w:p>
      <w:pPr>
        <w:pStyle w:val="BodyText"/>
        <w:widowControl/>
        <w:spacing w:lineRule="auto" w:line="276" w:before="0" w:after="140"/>
        <w:ind w:hanging="0" w:left="0" w:right="0"/>
        <w:jc w:val="both"/>
        <w:rPr>
          <w:sz w:val="22"/>
          <w:szCs w:val="22"/>
        </w:rPr>
      </w:pPr>
      <w:r>
        <w:rPr>
          <w:sz w:val="22"/>
          <w:szCs w:val="22"/>
        </w:rPr>
        <w:t>La domanda di accesso al REIS – PARTE SECONDA, compilata in ogni sua parte e completa di tutta la documentazione richiesta, potrà essere presentata solo ed esclusivamente tramite il servizio di istanze Online (con accesso tramite i sistemi di autenticazione SPID e CIE) accedendo al  portale dei Servizi Online del Comune di Sant’Antioco;</w:t>
      </w:r>
    </w:p>
    <w:p>
      <w:pPr>
        <w:pStyle w:val="BodyText"/>
        <w:widowControl/>
        <w:spacing w:lineRule="auto" w:line="276" w:before="0" w:after="140"/>
        <w:ind w:hanging="0" w:left="0" w:right="0"/>
        <w:jc w:val="both"/>
        <w:rPr>
          <w:rFonts w:ascii="Cambria" w:hAnsi="Cambria"/>
          <w:sz w:val="22"/>
          <w:szCs w:val="22"/>
        </w:rPr>
      </w:pPr>
      <w:r>
        <w:rPr>
          <w:sz w:val="22"/>
          <w:szCs w:val="22"/>
        </w:rPr>
        <w:t>La domanda può essere presentata a partire dal giorno di pubblicazione del presente bando fino al 31/12/2026;</w:t>
      </w:r>
    </w:p>
    <w:p>
      <w:pPr>
        <w:pStyle w:val="BodyText"/>
        <w:widowControl/>
        <w:spacing w:lineRule="auto" w:line="276" w:before="0" w:after="140"/>
        <w:ind w:hanging="0" w:left="0" w:right="0"/>
        <w:jc w:val="both"/>
        <w:rPr>
          <w:rFonts w:ascii="Cambria" w:hAnsi="Cambria"/>
          <w:sz w:val="22"/>
          <w:szCs w:val="22"/>
        </w:rPr>
      </w:pPr>
      <w:r>
        <w:rPr>
          <w:sz w:val="22"/>
          <w:szCs w:val="22"/>
        </w:rPr>
        <w:t xml:space="preserve"> </w:t>
      </w:r>
      <w:r>
        <w:rPr>
          <w:sz w:val="22"/>
          <w:szCs w:val="22"/>
        </w:rPr>
        <w:t xml:space="preserve">La </w:t>
      </w:r>
      <w:r>
        <w:rPr>
          <w:b/>
          <w:bCs/>
          <w:i w:val="false"/>
          <w:iCs w:val="false"/>
          <w:caps w:val="false"/>
          <w:smallCaps w:val="false"/>
          <w:color w:val="1A1A1A"/>
          <w:spacing w:val="0"/>
          <w:sz w:val="22"/>
          <w:szCs w:val="22"/>
        </w:rPr>
        <w:t xml:space="preserve"> </w:t>
      </w:r>
      <w:r>
        <w:rPr>
          <w:b w:val="false"/>
          <w:i w:val="false"/>
          <w:caps w:val="false"/>
          <w:smallCaps w:val="false"/>
          <w:color w:val="1A1A1A"/>
          <w:spacing w:val="0"/>
          <w:sz w:val="22"/>
          <w:szCs w:val="22"/>
        </w:rPr>
        <w:t>procedura di raccolta delle istanze è “a sportello” fino ad esaurimento dei fondi e prevede un  istruttoria mensile delle domande pervenute.</w:t>
      </w:r>
      <w:r>
        <w:rPr>
          <w:sz w:val="22"/>
          <w:szCs w:val="22"/>
        </w:rPr>
        <w:t xml:space="preserve"> </w:t>
      </w:r>
    </w:p>
    <w:p>
      <w:pPr>
        <w:pStyle w:val="BodyText"/>
        <w:widowControl/>
        <w:spacing w:lineRule="auto" w:line="276" w:before="0" w:after="140"/>
        <w:ind w:hanging="0" w:left="0" w:right="0"/>
        <w:jc w:val="both"/>
        <w:rPr>
          <w:sz w:val="22"/>
          <w:szCs w:val="22"/>
        </w:rPr>
      </w:pPr>
      <w:r>
        <w:rPr>
          <w:sz w:val="22"/>
          <w:szCs w:val="22"/>
        </w:rPr>
        <w:t>Alle domande, redatte in forma di dichiarazione sostitutiva di certificazione ai sensi del DPR 28.12.2000 n. 445, a pena di esclusione, dovrà essere allegata la seguente documentazione:</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 xml:space="preserve">1. Attestazione ISEE, del nucleo familiare convivente </w:t>
      </w:r>
      <w:r>
        <w:rPr>
          <w:sz w:val="22"/>
          <w:szCs w:val="22"/>
          <w:u w:val="single"/>
        </w:rPr>
        <w:t>come da stato di famiglia anagrafico</w:t>
      </w:r>
      <w:r>
        <w:rPr>
          <w:sz w:val="22"/>
          <w:szCs w:val="22"/>
        </w:rPr>
        <w:t>, rilasciato ai sensi del D.P.C.M. 5 dicembre 2013 n. 159, in corso di validità, privo di omissioni e difformità pena l’esclusione. In caso di nuclei in cui siano presenti minori si dovrà presentare l’ISEE minorenni. È ammesso l’ISEE corrente;</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 xml:space="preserve">2. Ricevuta di esito negativo o decadenza dell’Assegno di inclusione per l’anno 2026; in alternativa è possibile dichiarare i motivi oggettivi relativi alla mancata presentazione della domanda ADI; </w:t>
      </w:r>
    </w:p>
    <w:p>
      <w:pPr>
        <w:pStyle w:val="BodyText"/>
        <w:widowControl/>
        <w:spacing w:lineRule="auto" w:line="276" w:before="0" w:after="140"/>
        <w:ind w:hanging="0" w:left="0" w:right="0"/>
        <w:jc w:val="both"/>
        <w:rPr>
          <w:sz w:val="22"/>
          <w:szCs w:val="22"/>
        </w:rPr>
      </w:pPr>
      <w:r>
        <w:rPr>
          <w:sz w:val="22"/>
          <w:szCs w:val="22"/>
        </w:rPr>
        <w:t>3. Copia del documento di identità del richiedente in corso di validità, fronte retro, regolarmente sottoscritta;</w:t>
      </w:r>
    </w:p>
    <w:p>
      <w:pPr>
        <w:pStyle w:val="BodyText"/>
        <w:widowControl/>
        <w:spacing w:lineRule="auto" w:line="276" w:before="0" w:after="140"/>
        <w:ind w:hanging="0" w:left="0" w:right="0"/>
        <w:jc w:val="both"/>
        <w:rPr>
          <w:sz w:val="22"/>
          <w:szCs w:val="22"/>
        </w:rPr>
      </w:pPr>
      <w:r>
        <w:rPr>
          <w:sz w:val="22"/>
          <w:szCs w:val="22"/>
        </w:rPr>
        <w:t>5. Eventualmente, regolare permesso di soggiorno o carta di soggiorno;</w:t>
      </w:r>
    </w:p>
    <w:p>
      <w:pPr>
        <w:pStyle w:val="BodyText"/>
        <w:widowControl/>
        <w:spacing w:lineRule="auto" w:line="276" w:before="0" w:after="140"/>
        <w:ind w:hanging="0" w:left="0" w:right="0"/>
        <w:jc w:val="both"/>
        <w:rPr>
          <w:sz w:val="22"/>
          <w:szCs w:val="22"/>
        </w:rPr>
      </w:pPr>
      <w:r>
        <w:rPr>
          <w:sz w:val="22"/>
          <w:szCs w:val="22"/>
        </w:rPr>
        <w:t xml:space="preserve">6. Fotocopia codice IBAN del conto corrente bancario / postale / Postepay evolution / carta corrente, intestato o cointestato al richiedente, rilasciato dalla banca o dall’ufficio postale, (sono esclusi i libretti di accredito pensione/stipendio); </w:t>
      </w:r>
    </w:p>
    <w:p>
      <w:pPr>
        <w:pStyle w:val="BodyText"/>
        <w:widowControl/>
        <w:spacing w:lineRule="auto" w:line="276" w:before="0" w:after="140"/>
        <w:ind w:hanging="0" w:left="0" w:right="0"/>
        <w:jc w:val="both"/>
        <w:rPr>
          <w:sz w:val="22"/>
          <w:szCs w:val="22"/>
        </w:rPr>
      </w:pPr>
      <w:r>
        <w:rPr>
          <w:sz w:val="22"/>
          <w:szCs w:val="22"/>
        </w:rPr>
        <w:t xml:space="preserve">Si precisa che potrà essere presentata una sola domanda per nucleo familiare. Nell’ipotesi in cui pervengano istanze diverse da parte di più componenti il medesimo nucleo familiare sarà ritenuta ammissibile solamente una domanda, dando preferenza nella scelta, a quella pervenuta cronologicamente prima. </w:t>
      </w:r>
    </w:p>
    <w:p>
      <w:pPr>
        <w:pStyle w:val="BodyText"/>
        <w:widowControl/>
        <w:spacing w:lineRule="auto" w:line="276" w:before="0" w:after="140"/>
        <w:ind w:hanging="0" w:left="0" w:right="0"/>
        <w:jc w:val="both"/>
        <w:rPr>
          <w:sz w:val="22"/>
          <w:szCs w:val="22"/>
        </w:rPr>
      </w:pPr>
      <w:r>
        <w:rPr>
          <w:sz w:val="22"/>
          <w:szCs w:val="22"/>
          <w:u w:val="single"/>
        </w:rPr>
        <w:t>Tutti i requisiti dovranno essere posseduti e dichiarati alla data di presentazione delle istanze.</w:t>
      </w:r>
    </w:p>
    <w:p>
      <w:pPr>
        <w:pStyle w:val="BodyText"/>
        <w:widowControl/>
        <w:spacing w:lineRule="auto" w:line="276" w:before="0" w:after="140"/>
        <w:ind w:hanging="0" w:left="0" w:right="0"/>
        <w:jc w:val="both"/>
        <w:rPr>
          <w:sz w:val="22"/>
          <w:szCs w:val="22"/>
        </w:rPr>
      </w:pPr>
      <w:r>
        <w:rPr>
          <w:sz w:val="22"/>
          <w:szCs w:val="22"/>
        </w:rPr>
        <w:t>È necessario che il richiedente sia già in possesso della dichiarazione sostitutiva unica per l’ISEE, in corso di validità al momento della presentazione della domanda.</w:t>
      </w:r>
    </w:p>
    <w:p>
      <w:pPr>
        <w:pStyle w:val="BodyText"/>
        <w:widowControl/>
        <w:spacing w:lineRule="auto" w:line="276" w:before="0" w:after="140"/>
        <w:ind w:hanging="0" w:left="0" w:right="0"/>
        <w:jc w:val="both"/>
        <w:rPr>
          <w:sz w:val="22"/>
          <w:szCs w:val="22"/>
        </w:rPr>
      </w:pPr>
      <w:r>
        <w:rPr>
          <w:sz w:val="22"/>
          <w:szCs w:val="22"/>
        </w:rPr>
        <w:t xml:space="preserve">In caso di documenti illeggibili e per approfondimenti, il Comune di Sant’Antioco  tramite l’indirizzo di posta elettronica </w:t>
      </w:r>
      <w:hyperlink r:id="rId4">
        <w:r>
          <w:rPr>
            <w:rStyle w:val="Hyperlink"/>
            <w:sz w:val="22"/>
            <w:szCs w:val="22"/>
          </w:rPr>
          <w:t>reis@comune.santantioco.su.it</w:t>
        </w:r>
      </w:hyperlink>
      <w:r>
        <w:rPr>
          <w:sz w:val="22"/>
          <w:szCs w:val="22"/>
        </w:rPr>
        <w:t xml:space="preserve"> potrà richiedere integrazioni documentali tramite email indicata in fase di presentazione della domanda fissando i termini per la risposta, che comunque non potranno essere superiori a 5 giorni solari dalla richiesta.</w:t>
      </w:r>
    </w:p>
    <w:p>
      <w:pPr>
        <w:pStyle w:val="BodyText"/>
        <w:widowControl/>
        <w:spacing w:lineRule="auto" w:line="276" w:before="0" w:after="140"/>
        <w:ind w:hanging="0" w:left="0" w:right="0"/>
        <w:jc w:val="both"/>
        <w:rPr>
          <w:sz w:val="22"/>
          <w:szCs w:val="22"/>
        </w:rPr>
      </w:pPr>
      <w:r>
        <w:rPr>
          <w:sz w:val="22"/>
          <w:szCs w:val="22"/>
        </w:rPr>
        <w:t xml:space="preserve">Il richiedente è tenuto a verificare periodicamente la casella di posta elettronica indicata in fase di presentazione della domanda. </w:t>
      </w:r>
      <w:r>
        <w:rPr>
          <w:sz w:val="22"/>
          <w:szCs w:val="22"/>
          <w:u w:val="single"/>
        </w:rPr>
        <w:t>La mancata risposta del soggetto richiedente entro il termine stabilito costituisce causa di inammissibilità della domanda</w:t>
      </w:r>
    </w:p>
    <w:p>
      <w:pPr>
        <w:pStyle w:val="BodyText"/>
        <w:widowControl/>
        <w:spacing w:lineRule="auto" w:line="276" w:before="0" w:after="140"/>
        <w:ind w:hanging="0" w:left="0" w:right="0"/>
        <w:jc w:val="both"/>
        <w:rPr>
          <w:sz w:val="22"/>
          <w:szCs w:val="22"/>
        </w:rPr>
      </w:pPr>
      <w:r>
        <w:rPr>
          <w:sz w:val="22"/>
          <w:szCs w:val="22"/>
        </w:rPr>
        <w:t>Art. 5 - MOTIVI DI ESCLUSIONE</w:t>
      </w:r>
    </w:p>
    <w:p>
      <w:pPr>
        <w:pStyle w:val="BodyText"/>
        <w:widowControl/>
        <w:spacing w:lineRule="auto" w:line="276" w:before="0" w:after="140"/>
        <w:ind w:hanging="0" w:left="0" w:right="0"/>
        <w:jc w:val="both"/>
        <w:rPr>
          <w:sz w:val="22"/>
          <w:szCs w:val="22"/>
        </w:rPr>
      </w:pPr>
      <w:r>
        <w:rPr>
          <w:sz w:val="22"/>
          <w:szCs w:val="22"/>
        </w:rPr>
        <w:t>Sono esclusi dal programma:</w:t>
      </w:r>
    </w:p>
    <w:p>
      <w:pPr>
        <w:pStyle w:val="BodyText"/>
        <w:widowControl/>
        <w:spacing w:lineRule="auto" w:line="276" w:before="0" w:after="140"/>
        <w:ind w:hanging="0" w:left="0" w:right="0"/>
        <w:jc w:val="both"/>
        <w:rPr>
          <w:sz w:val="22"/>
          <w:szCs w:val="22"/>
        </w:rPr>
      </w:pPr>
      <w:r>
        <w:rPr>
          <w:sz w:val="22"/>
          <w:szCs w:val="22"/>
        </w:rPr>
        <w:t xml:space="preserve"> – </w:t>
      </w:r>
      <w:r>
        <w:rPr>
          <w:sz w:val="22"/>
          <w:szCs w:val="22"/>
        </w:rPr>
        <w:t>Coloro che non possiedono i requisiti di cui all'art. 2;</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Coloro che effettuino false dichiarazioni ai sensi del DPR 28/12/200 n. 445;</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6 – REDAZIONE E PUBBLICAZIONE DELL’ELENCO DELLE DOMANDE AMMESSE</w:t>
      </w:r>
    </w:p>
    <w:p>
      <w:pPr>
        <w:pStyle w:val="BodyText"/>
        <w:widowControl/>
        <w:spacing w:lineRule="auto" w:line="276" w:before="0" w:after="140"/>
        <w:ind w:hanging="0" w:left="0" w:right="0"/>
        <w:jc w:val="both"/>
        <w:rPr/>
      </w:pPr>
      <w:r>
        <w:rPr>
          <w:color w:val="auto"/>
          <w:sz w:val="22"/>
          <w:szCs w:val="22"/>
          <w:shd w:fill="auto" w:val="clear"/>
        </w:rPr>
        <w:t xml:space="preserve">Tutti i nuclei in possesso dei requisiti definiti ai punti precedenti saranno posti in lista sulla base del valore dell’ISEE,  dell’ordine di priorità di cui alla </w:t>
      </w:r>
      <w:r>
        <w:rPr>
          <w:color w:val="auto"/>
          <w:sz w:val="22"/>
          <w:szCs w:val="22"/>
          <w:shd w:fill="FFFF00" w:val="clear"/>
        </w:rPr>
        <w:t xml:space="preserve">delib.G.C.____________ </w:t>
      </w:r>
      <w:r>
        <w:rPr>
          <w:color w:val="auto"/>
          <w:sz w:val="22"/>
          <w:szCs w:val="22"/>
          <w:shd w:fill="auto" w:val="clear"/>
        </w:rPr>
        <w:t>e delle valutazioni effettuate dal servizio sociale professionale.</w:t>
      </w:r>
    </w:p>
    <w:p>
      <w:pPr>
        <w:pStyle w:val="BodyText"/>
        <w:widowControl/>
        <w:spacing w:lineRule="auto" w:line="276" w:before="0" w:after="140"/>
        <w:ind w:hanging="0" w:left="0" w:right="0"/>
        <w:jc w:val="both"/>
        <w:rPr>
          <w:color w:val="auto"/>
          <w:sz w:val="22"/>
          <w:szCs w:val="22"/>
          <w:highlight w:val="none"/>
          <w:shd w:fill="auto" w:val="clear"/>
        </w:rPr>
      </w:pPr>
      <w:r>
        <w:rPr>
          <w:color w:val="auto"/>
          <w:sz w:val="22"/>
          <w:szCs w:val="22"/>
          <w:shd w:fill="auto" w:val="clear"/>
        </w:rPr>
        <w:t>La pubblicazione dell’esito dell’istruttoria sul sito istituzionale del Comune avrà valore di notifica per ciascuno degli interessati, pertanto assolve all’obbligo di comunicazione posto a carico dell’Ente dell’esito del procedimento per ciascuno degli interessati.</w:t>
      </w:r>
    </w:p>
    <w:p>
      <w:pPr>
        <w:pStyle w:val="BodyText"/>
        <w:widowControl/>
        <w:spacing w:lineRule="auto" w:line="276" w:before="0" w:after="140"/>
        <w:ind w:hanging="0" w:left="0" w:right="0"/>
        <w:jc w:val="both"/>
        <w:rPr>
          <w:color w:val="auto"/>
          <w:sz w:val="22"/>
          <w:szCs w:val="22"/>
          <w:highlight w:val="none"/>
          <w:shd w:fill="auto" w:val="clear"/>
        </w:rPr>
      </w:pPr>
      <w:r>
        <w:rPr>
          <w:color w:val="auto"/>
          <w:sz w:val="22"/>
          <w:szCs w:val="22"/>
          <w:shd w:fill="auto" w:val="clear"/>
        </w:rPr>
        <w:t>Avverso il provvedimento adottato dall’Ente è ammesso ricorso entro il termine di 10 giorni dall’avvenuta pubblicazione della graduatoria sul sito del Comune di Sant’Antioco. Se entro tali termini non pervengano ricorsi, la graduatoria assume carattere definitivo.</w:t>
      </w:r>
    </w:p>
    <w:p>
      <w:pPr>
        <w:pStyle w:val="BodyText"/>
        <w:widowControl/>
        <w:spacing w:lineRule="auto" w:line="276" w:before="0" w:after="140"/>
        <w:ind w:hanging="0" w:left="0" w:right="0"/>
        <w:jc w:val="both"/>
        <w:rPr/>
      </w:pPr>
      <w:r>
        <w:rPr/>
        <w:t>Si procederà all’erogazione dei contributi economici sino alla totale copertura dei fondi a disposizione.</w:t>
      </w:r>
    </w:p>
    <w:p>
      <w:pPr>
        <w:pStyle w:val="BodyText"/>
        <w:widowControl/>
        <w:spacing w:lineRule="auto" w:line="276" w:before="0" w:after="140"/>
        <w:ind w:hanging="0" w:left="0" w:right="0"/>
        <w:jc w:val="both"/>
        <w:rPr>
          <w:sz w:val="22"/>
          <w:szCs w:val="22"/>
        </w:rPr>
      </w:pPr>
      <w:r>
        <w:rPr>
          <w:sz w:val="22"/>
          <w:szCs w:val="22"/>
        </w:rPr>
        <w:t>ART. 7 – CONTROLLI</w:t>
      </w:r>
    </w:p>
    <w:p>
      <w:pPr>
        <w:pStyle w:val="BodyText"/>
        <w:widowControl/>
        <w:spacing w:lineRule="auto" w:line="276" w:before="0" w:after="140"/>
        <w:ind w:hanging="0" w:left="0" w:right="0"/>
        <w:jc w:val="both"/>
        <w:rPr>
          <w:sz w:val="22"/>
          <w:szCs w:val="22"/>
        </w:rPr>
      </w:pPr>
      <w:r>
        <w:rPr>
          <w:sz w:val="22"/>
          <w:szCs w:val="22"/>
        </w:rPr>
        <w:t xml:space="preserve">Il Comune effettuerà </w:t>
      </w:r>
      <w:r>
        <w:rPr>
          <w:b/>
          <w:bCs/>
          <w:sz w:val="22"/>
          <w:szCs w:val="22"/>
        </w:rPr>
        <w:t xml:space="preserve">i </w:t>
      </w:r>
      <w:r>
        <w:rPr>
          <w:b/>
          <w:bCs/>
          <w:sz w:val="22"/>
          <w:szCs w:val="22"/>
          <w:shd w:fill="auto" w:val="clear"/>
        </w:rPr>
        <w:t xml:space="preserve">controlli di legge </w:t>
      </w:r>
      <w:r>
        <w:rPr>
          <w:sz w:val="22"/>
          <w:szCs w:val="22"/>
        </w:rPr>
        <w:t xml:space="preserve"> per verificare l’attendibilità delle dichiarazioni rese. Si precisa che, a norma degli artt. 75 e 76 del D.P.R. 28/12/2000, n. 445 e successive modificazioni e integrazioni, chi rilascia dichiarazioni mendaci è punito ai sensi del codice penale e delle leggi speciali in materia e decade dai benefici eventualmente conseguenti al provvedimento emanato sulla base della dichiarazione non veritiera.</w:t>
      </w:r>
    </w:p>
    <w:p>
      <w:pPr>
        <w:pStyle w:val="BodyText"/>
        <w:widowControl/>
        <w:spacing w:lineRule="auto" w:line="276" w:before="0" w:after="140"/>
        <w:ind w:hanging="0" w:left="0" w:right="0"/>
        <w:jc w:val="both"/>
        <w:rPr>
          <w:sz w:val="22"/>
          <w:szCs w:val="22"/>
        </w:rPr>
      </w:pPr>
      <w:r>
        <w:rPr>
          <w:sz w:val="22"/>
          <w:szCs w:val="22"/>
        </w:rPr>
        <w:t>Art. 8 – REVOCA DEL BENEFICIO</w:t>
      </w:r>
    </w:p>
    <w:p>
      <w:pPr>
        <w:pStyle w:val="BodyText"/>
        <w:widowControl/>
        <w:spacing w:lineRule="auto" w:line="276" w:before="0" w:after="140"/>
        <w:ind w:hanging="0" w:left="0" w:right="0"/>
        <w:jc w:val="both"/>
        <w:rPr>
          <w:sz w:val="22"/>
          <w:szCs w:val="22"/>
        </w:rPr>
      </w:pPr>
      <w:r>
        <w:rPr>
          <w:sz w:val="22"/>
          <w:szCs w:val="22"/>
        </w:rPr>
        <w:t>Si procederà con la revoca del contributo a coloro che:</w:t>
      </w:r>
    </w:p>
    <w:p>
      <w:pPr>
        <w:pStyle w:val="BodyText"/>
        <w:widowControl/>
        <w:spacing w:lineRule="auto" w:line="276" w:before="0" w:after="140"/>
        <w:ind w:hanging="0" w:left="0" w:right="0"/>
        <w:jc w:val="both"/>
        <w:rPr>
          <w:sz w:val="22"/>
          <w:szCs w:val="22"/>
        </w:rPr>
      </w:pPr>
      <w:r>
        <w:rPr>
          <w:sz w:val="22"/>
          <w:szCs w:val="22"/>
        </w:rPr>
        <w:t>a. omettano di informare il Servizio sociale di qualunque cambiamento intervenuto nella loro situazione reddituale, patrimoniale e familiare che determini la perdita anche di uno solo dei requisiti previsti per l’accesso alla Misura;</w:t>
      </w:r>
    </w:p>
    <w:p>
      <w:pPr>
        <w:pStyle w:val="BodyText"/>
        <w:widowControl/>
        <w:spacing w:lineRule="auto" w:line="276" w:before="0" w:after="140"/>
        <w:ind w:hanging="0" w:left="0" w:right="0"/>
        <w:jc w:val="both"/>
        <w:rPr>
          <w:sz w:val="22"/>
          <w:szCs w:val="22"/>
        </w:rPr>
      </w:pPr>
      <w:r>
        <w:rPr>
          <w:sz w:val="22"/>
          <w:szCs w:val="22"/>
        </w:rPr>
        <w:t>b. omettano di comunicare l’ammissione all’Assegno di Inclusione (ADI);</w:t>
      </w:r>
    </w:p>
    <w:p>
      <w:pPr>
        <w:pStyle w:val="BodyText"/>
        <w:jc w:val="both"/>
        <w:rPr>
          <w:rFonts w:ascii="Calibri;sans-serif" w:hAnsi="Calibri;sans-serif"/>
          <w:b/>
          <w:i w:val="false"/>
          <w:iCs w:val="false"/>
          <w:sz w:val="24"/>
        </w:rPr>
      </w:pPr>
      <w:r>
        <w:rPr>
          <w:rFonts w:ascii="Calibri;sans-serif" w:hAnsi="Calibri;sans-serif"/>
          <w:b w:val="false"/>
          <w:bCs w:val="false"/>
          <w:i w:val="false"/>
          <w:iCs w:val="false"/>
          <w:sz w:val="24"/>
        </w:rPr>
        <w:t xml:space="preserve">c. </w:t>
      </w:r>
      <w:r>
        <w:rPr>
          <w:b w:val="false"/>
          <w:bCs w:val="false"/>
          <w:i w:val="false"/>
          <w:iCs w:val="false"/>
          <w:sz w:val="22"/>
          <w:szCs w:val="22"/>
          <w:u w:val="single"/>
        </w:rPr>
        <w:t>Coloro che, in presenza di un progetto  di supporto finalizzato alla fuoriuscita dalla situazione di bisogno, non rispettino gli  obiettivi  condivisi e le azioni progettuali previste.</w:t>
      </w:r>
    </w:p>
    <w:p>
      <w:pPr>
        <w:pStyle w:val="BodyText"/>
        <w:widowControl/>
        <w:spacing w:lineRule="auto" w:line="276" w:before="0" w:after="140"/>
        <w:ind w:hanging="0" w:left="0" w:right="0"/>
        <w:jc w:val="both"/>
        <w:rPr>
          <w:sz w:val="22"/>
          <w:szCs w:val="22"/>
        </w:rPr>
      </w:pPr>
      <w:r>
        <w:rPr>
          <w:sz w:val="22"/>
          <w:szCs w:val="22"/>
        </w:rPr>
        <w:t>d. Coloro che non comunichino eventuale nuovo IBAN in caso di revoca, chiusura, scadenza, o altri motivi, del conto corrente, carta corrente, postepay evolution, ecc.</w:t>
      </w:r>
    </w:p>
    <w:p>
      <w:pPr>
        <w:pStyle w:val="BodyText"/>
        <w:widowControl/>
        <w:spacing w:lineRule="auto" w:line="276" w:before="0" w:after="140"/>
        <w:ind w:hanging="0" w:left="0" w:right="0"/>
        <w:jc w:val="both"/>
        <w:rPr>
          <w:sz w:val="22"/>
          <w:szCs w:val="22"/>
        </w:rPr>
      </w:pPr>
      <w:r>
        <w:rPr>
          <w:sz w:val="22"/>
          <w:szCs w:val="22"/>
        </w:rPr>
        <w:t>Nel caso in cui il beneficiario del REIS Parte Seconda, comunichi tardivamente l’ammissione all’ADI o al Cantiere Lavoras e qualora abbia percepito entrambi i contributi (REIS Parte Seconda e ADI), i sussidi REIS percepiti indebitamente dovranno essere immediatamente restituiti al Comune, secondo le modalità che verranno comunicate.</w:t>
      </w:r>
    </w:p>
    <w:p>
      <w:pPr>
        <w:pStyle w:val="BodyText"/>
        <w:jc w:val="both"/>
        <w:rPr>
          <w:b w:val="false"/>
          <w:bCs w:val="false"/>
        </w:rPr>
      </w:pPr>
      <w:r>
        <w:rPr>
          <w:b w:val="false"/>
          <w:bCs w:val="false"/>
        </w:rPr>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9 - RESPONSABILE DEL PROCEDIMENTO</w:t>
      </w:r>
    </w:p>
    <w:p>
      <w:pPr>
        <w:pStyle w:val="BodyText"/>
        <w:widowControl/>
        <w:spacing w:lineRule="auto" w:line="276" w:before="0" w:after="140"/>
        <w:ind w:hanging="0" w:left="0" w:right="0"/>
        <w:jc w:val="both"/>
        <w:rPr>
          <w:sz w:val="22"/>
          <w:szCs w:val="22"/>
        </w:rPr>
      </w:pPr>
      <w:r>
        <w:rPr>
          <w:sz w:val="22"/>
          <w:szCs w:val="22"/>
        </w:rPr>
        <w:t>Responsabile del Procedimento ai sensi dell’art. 5, comma 1 della Legge 7 Agosto 1990 n. 241 è la D.ssa Antonella Serrenti;</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10 – RICORSI</w:t>
      </w:r>
    </w:p>
    <w:p>
      <w:pPr>
        <w:pStyle w:val="BodyText"/>
        <w:widowControl/>
        <w:spacing w:lineRule="auto" w:line="276" w:before="0" w:after="140"/>
        <w:ind w:hanging="0" w:left="0" w:right="0"/>
        <w:jc w:val="both"/>
        <w:rPr>
          <w:sz w:val="22"/>
          <w:szCs w:val="22"/>
        </w:rPr>
      </w:pPr>
      <w:r>
        <w:rPr>
          <w:sz w:val="22"/>
          <w:szCs w:val="22"/>
        </w:rPr>
        <w:t>Avverso i provvedimenti adottati dal Comune è ammesso ricorso entro il termine di 10 giorni dall’avvenuta comunicazione/pubblicazione sul sito istituzionale del Comune dell’esito del procedimento.</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11 – NORME DI RINVIO</w:t>
      </w:r>
    </w:p>
    <w:p>
      <w:pPr>
        <w:pStyle w:val="BodyText"/>
        <w:widowControl/>
        <w:spacing w:lineRule="auto" w:line="276" w:before="0" w:after="140"/>
        <w:ind w:hanging="0" w:left="0" w:right="0"/>
        <w:jc w:val="both"/>
        <w:rPr>
          <w:sz w:val="22"/>
          <w:szCs w:val="22"/>
        </w:rPr>
      </w:pPr>
      <w:r>
        <w:rPr>
          <w:sz w:val="22"/>
          <w:szCs w:val="22"/>
        </w:rPr>
        <w:t>Per quanto non espressamente previsto nel presente Avviso Pubblico si fa espresso rinvio a quanto disposto dalle leggi vigenti e dalle disposizioni regionali.</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12 – TRATTAMENTO DATI PERSONALI</w:t>
      </w:r>
    </w:p>
    <w:p>
      <w:pPr>
        <w:pStyle w:val="BodyText"/>
        <w:widowControl/>
        <w:spacing w:lineRule="auto" w:line="276" w:before="0" w:after="140"/>
        <w:ind w:hanging="0" w:left="0" w:right="0"/>
        <w:jc w:val="both"/>
        <w:rPr>
          <w:sz w:val="22"/>
          <w:szCs w:val="22"/>
        </w:rPr>
      </w:pPr>
      <w:r>
        <w:rPr>
          <w:sz w:val="22"/>
          <w:szCs w:val="22"/>
        </w:rPr>
        <w:t>I dati personali forniti nell'istanza e nella documentazione ad essa allegata, nel rispetto delle disposizioni vigenti, saranno trattati e utilizzati dall’amministrazione comunale e dalla Regione Sardegna in quanto contitolari del trattamento, per i fini istituzionali connessi all’espletamento della procedura in oggetto. 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pPr>
        <w:pStyle w:val="BodyText"/>
        <w:widowControl/>
        <w:spacing w:lineRule="auto" w:line="276" w:before="0" w:after="140"/>
        <w:ind w:hanging="0" w:left="0" w:right="0"/>
        <w:jc w:val="both"/>
        <w:rPr>
          <w:sz w:val="22"/>
          <w:szCs w:val="22"/>
        </w:rPr>
      </w:pPr>
      <w:r>
        <w:rPr>
          <w:sz w:val="22"/>
          <w:szCs w:val="22"/>
        </w:rPr>
        <w:t>Il trattamento dei dati sarà effettuato con l'ausilio di mezzi informatici e dovranno essere comunicati agli altri soggetti coinvolti nella gestione del procedimento e a quelli demandati all'effettuazione dei controlli previsti dalla vigente normativa. All’interessato sono riconosciuti i diritti di cui all’art. 7 del Decreto Legislativo n. 196/2003 e, in particolare, il diritto di accedere ai propri dati personali, di chiederne la rettifica, l’aggiornamento e la cancellazione, se incompleti, erronei o raccolti in violazione di legge, nonché di opporsi al trattamento degli stessi per motivi legittimi. Il titolare del trattamento dei dati personali è il Comune di Sant’Antioco.</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13 – DISPOSIZIONI FINALI</w:t>
      </w:r>
    </w:p>
    <w:p>
      <w:pPr>
        <w:pStyle w:val="BodyText"/>
        <w:widowControl/>
        <w:spacing w:lineRule="auto" w:line="276" w:before="0" w:after="140"/>
        <w:ind w:hanging="0" w:left="0" w:right="0"/>
        <w:jc w:val="both"/>
        <w:rPr>
          <w:sz w:val="22"/>
          <w:szCs w:val="22"/>
        </w:rPr>
      </w:pPr>
      <w:r>
        <w:rPr>
          <w:sz w:val="22"/>
          <w:szCs w:val="22"/>
        </w:rPr>
        <w:t xml:space="preserve">Per quanto non previsto dal presente avviso, si applicano le disposizioni delle vigenti norme di legge, della Legge Regionale 2 agosto 2016, n. 18 e della </w:t>
      </w:r>
      <w:r>
        <w:rPr>
          <w:rFonts w:ascii="Times New Roman" w:hAnsi="Times New Roman"/>
          <w:b w:val="false"/>
          <w:bCs w:val="false"/>
          <w:sz w:val="22"/>
          <w:szCs w:val="22"/>
        </w:rPr>
        <w:t>Deliberazione della Giunta Regionale n. 30/55 del 05 giugno 2025 con la quale è stata approvata in via definitiva la DGR n. 16/7 del 26 marzo 2025, recante “Modifica linee guida, per il triennio 2024-2026.</w:t>
      </w:r>
    </w:p>
    <w:p>
      <w:pPr>
        <w:pStyle w:val="BodyText"/>
        <w:widowControl/>
        <w:spacing w:lineRule="auto" w:line="276" w:before="0" w:after="140"/>
        <w:ind w:hanging="0" w:left="0" w:right="0"/>
        <w:jc w:val="both"/>
        <w:rPr>
          <w:sz w:val="22"/>
          <w:szCs w:val="22"/>
        </w:rPr>
      </w:pPr>
      <w:r>
        <w:rPr>
          <w:sz w:val="22"/>
          <w:szCs w:val="22"/>
        </w:rPr>
        <w:t xml:space="preserve">Le eventuali variazioni e/o integrazioni derivanti da circolari regionali di attuazione del programma, disposizioni normative vincolanti che interverranno successivamente all’adozione del presente atto, si intendono modificative o integrative del presente avviso. Per eventuali informazioni </w:t>
      </w:r>
      <w:r>
        <w:rPr>
          <w:rFonts w:cs="Calibri"/>
          <w:sz w:val="20"/>
          <w:szCs w:val="20"/>
        </w:rPr>
        <w:t>è possibile contattare:</w:t>
      </w:r>
    </w:p>
    <w:p>
      <w:pPr>
        <w:pStyle w:val="Normal"/>
        <w:spacing w:before="0" w:after="0"/>
        <w:jc w:val="both"/>
        <w:rPr>
          <w:rFonts w:cs="Calibri"/>
          <w:sz w:val="20"/>
          <w:szCs w:val="20"/>
        </w:rPr>
      </w:pPr>
      <w:r>
        <w:rPr>
          <w:rFonts w:cs="Calibri"/>
          <w:sz w:val="20"/>
          <w:szCs w:val="20"/>
        </w:rPr>
      </w:r>
    </w:p>
    <w:p>
      <w:pPr>
        <w:pStyle w:val="Normal"/>
        <w:spacing w:before="0" w:after="0"/>
        <w:jc w:val="both"/>
        <w:rPr>
          <w:rFonts w:cs="Calibri"/>
          <w:sz w:val="20"/>
          <w:szCs w:val="20"/>
        </w:rPr>
      </w:pPr>
      <w:r>
        <w:rPr>
          <w:rFonts w:cs="Calibri"/>
          <w:sz w:val="20"/>
          <w:szCs w:val="20"/>
        </w:rPr>
        <w:t>D.ssa Claudia Anedda  Tel 07818030301</w:t>
      </w:r>
    </w:p>
    <w:p>
      <w:pPr>
        <w:pStyle w:val="Normal"/>
        <w:spacing w:before="0" w:after="0"/>
        <w:jc w:val="both"/>
        <w:rPr>
          <w:rFonts w:cs="Calibri"/>
          <w:sz w:val="20"/>
          <w:szCs w:val="20"/>
        </w:rPr>
      </w:pPr>
      <w:r>
        <w:rPr>
          <w:rFonts w:cs="Calibri"/>
          <w:sz w:val="20"/>
          <w:szCs w:val="20"/>
        </w:rPr>
        <w:t>D.ssa Maria Grazia Muroni  Tel. 07818030306</w:t>
      </w:r>
    </w:p>
    <w:p>
      <w:pPr>
        <w:pStyle w:val="Normal"/>
        <w:spacing w:before="0" w:after="0"/>
        <w:jc w:val="both"/>
        <w:rPr>
          <w:rFonts w:cs="Calibri"/>
          <w:sz w:val="20"/>
          <w:szCs w:val="20"/>
        </w:rPr>
      </w:pPr>
      <w:r>
        <w:rPr>
          <w:rFonts w:cs="Calibri"/>
          <w:sz w:val="20"/>
          <w:szCs w:val="20"/>
        </w:rPr>
      </w:r>
    </w:p>
    <w:p>
      <w:pPr>
        <w:pStyle w:val="Normal"/>
        <w:spacing w:before="0" w:after="0"/>
        <w:jc w:val="both"/>
        <w:rPr>
          <w:rFonts w:cs="Calibri"/>
          <w:sz w:val="20"/>
          <w:szCs w:val="20"/>
        </w:rPr>
      </w:pPr>
      <w:r>
        <w:rPr>
          <w:rFonts w:cs="Calibri"/>
          <w:sz w:val="20"/>
          <w:szCs w:val="20"/>
        </w:rPr>
        <w:t xml:space="preserve">Mail: </w:t>
      </w:r>
      <w:r>
        <w:rPr>
          <w:rFonts w:cs="Calibri"/>
          <w:i/>
          <w:iCs/>
          <w:sz w:val="20"/>
          <w:szCs w:val="20"/>
        </w:rPr>
        <w:t>reis@comune.santantioco.su.it</w:t>
      </w:r>
    </w:p>
    <w:p>
      <w:pPr>
        <w:pStyle w:val="Normal"/>
        <w:spacing w:before="0" w:after="0"/>
        <w:jc w:val="both"/>
        <w:rPr>
          <w:rFonts w:cs="Calibri"/>
          <w:sz w:val="20"/>
          <w:szCs w:val="20"/>
        </w:rPr>
      </w:pPr>
      <w:r>
        <w:rPr>
          <w:rFonts w:cs="Calibri"/>
          <w:sz w:val="20"/>
          <w:szCs w:val="20"/>
        </w:rPr>
      </w:r>
    </w:p>
    <w:p>
      <w:pPr>
        <w:pStyle w:val="Normal"/>
        <w:spacing w:before="0" w:after="0"/>
        <w:jc w:val="both"/>
        <w:rPr>
          <w:rFonts w:cs="Calibri"/>
          <w:sz w:val="20"/>
          <w:szCs w:val="20"/>
        </w:rPr>
      </w:pPr>
      <w:r>
        <w:rPr>
          <w:rFonts w:cs="Calibri"/>
          <w:sz w:val="20"/>
          <w:szCs w:val="20"/>
        </w:rPr>
        <w:t>Sant’Antioco _________________</w:t>
      </w:r>
    </w:p>
    <w:p>
      <w:pPr>
        <w:pStyle w:val="BodyText"/>
        <w:widowControl/>
        <w:spacing w:lineRule="auto" w:line="276" w:before="0" w:after="140"/>
        <w:ind w:hanging="0" w:left="0" w:right="0"/>
        <w:jc w:val="both"/>
        <w:rPr>
          <w:rFonts w:cs="Calibri"/>
          <w:sz w:val="22"/>
          <w:szCs w:val="24"/>
        </w:rPr>
      </w:pPr>
      <w:r>
        <w:rPr>
          <w:rFonts w:cs="Calibri"/>
          <w:sz w:val="22"/>
          <w:szCs w:val="24"/>
        </w:rPr>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Sant’Antioco _______________                                                                   IL RESPONSABILE DEL SERVIZIO</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D.ssa Antonella Serrenti</w:t>
      </w:r>
    </w:p>
    <w:sectPr>
      <w:footerReference w:type="even" r:id="rId5"/>
      <w:footerReference w:type="default" r:id="rId6"/>
      <w:footerReference w:type="first" r:id="rId7"/>
      <w:type w:val="nextPage"/>
      <w:pgSz w:w="12240" w:h="15840"/>
      <w:pgMar w:left="1134" w:right="1134" w:gutter="0" w:header="0" w:top="720" w:footer="720" w:bottom="1134"/>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OpenSymbol">
    <w:altName w:val="Arial Unicode MS"/>
    <w:charset w:val="02"/>
    <w:family w:val="roman"/>
    <w:pitch w:val="variable"/>
  </w:font>
  <w:font w:name="Liberation Sans">
    <w:altName w:val="Arial"/>
    <w:charset w:val="00"/>
    <w:family w:val="swiss"/>
    <w:pitch w:val="variable"/>
  </w:font>
  <w:font w:name="Arial Narrow">
    <w:charset w:val="00"/>
    <w:family w:val="roman"/>
    <w:pitch w:val="variable"/>
  </w:font>
  <w:font w:name="Calibri">
    <w:charset w:val="00"/>
    <w:family w:val="roman"/>
    <w:pitch w:val="variable"/>
  </w:font>
  <w:font w:name="Titillium Web">
    <w:charset w:val="00"/>
    <w:family w:val="roman"/>
    <w:pitch w:val="variable"/>
  </w:font>
  <w:font w:name="Lora">
    <w:charset w:val="00"/>
    <w:family w:val="roman"/>
    <w:pitch w:val="variable"/>
  </w:font>
  <w:font w:name="Calibri">
    <w:altName w:val="sans-serif"/>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b/>
      </w:rPr>
    </w:pPr>
    <w:r>
      <w:rPr>
        <w:b/>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b/>
      </w:rPr>
    </w:pPr>
    <w:r>
      <w:rPr>
        <w:b/>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08"/>
  <w:autoHyphenation w:val="true"/>
  <w:hyphenationZone w:val="283"/>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6e46"/>
    <w:pPr>
      <w:widowControl/>
      <w:suppressAutoHyphens w:val="true"/>
      <w:bidi w:val="0"/>
      <w:spacing w:before="0" w:after="0"/>
      <w:jc w:val="left"/>
    </w:pPr>
    <w:rPr>
      <w:rFonts w:ascii="Cambria" w:hAnsi="Cambria" w:eastAsia="MS Mincho" w:cs="Times New Roman"/>
      <w:color w:val="auto"/>
      <w:kern w:val="0"/>
      <w:sz w:val="24"/>
      <w:szCs w:val="24"/>
      <w:lang w:val="it-IT" w:eastAsia="it-IT" w:bidi="ar-SA"/>
    </w:rPr>
  </w:style>
  <w:style w:type="paragraph" w:styleId="Heading2">
    <w:name w:val="heading 2"/>
    <w:basedOn w:val="Normal"/>
    <w:next w:val="BodyText"/>
    <w:qFormat/>
    <w:pPr>
      <w:numPr>
        <w:ilvl w:val="2"/>
        <w:numId w:val="1"/>
      </w:numPr>
      <w:ind w:hanging="0" w:left="252"/>
      <w:outlineLvl w:val="2"/>
    </w:pPr>
    <w:rPr>
      <w:rFonts w:ascii="Arial" w:hAnsi="Arial" w:eastAsia="Arial" w:cs="Arial"/>
      <w:b/>
      <w:bCs/>
      <w:sz w:val="22"/>
      <w:szCs w:val="22"/>
    </w:rPr>
  </w:style>
  <w:style w:type="paragraph" w:styleId="Heading3">
    <w:name w:val="heading 3"/>
    <w:basedOn w:val="Titolouser"/>
    <w:next w:val="BodyText"/>
    <w:qFormat/>
    <w:pPr>
      <w:spacing w:before="140" w:after="120"/>
      <w:outlineLvl w:val="2"/>
    </w:pPr>
    <w:rPr>
      <w:rFonts w:ascii="Liberation Serif" w:hAnsi="Liberation Serif" w:eastAsia="Segoe UI" w:cs="Tahoma"/>
      <w:b/>
      <w:bCs/>
      <w:sz w:val="28"/>
      <w:szCs w:val="28"/>
    </w:rPr>
  </w:style>
  <w:style w:type="paragraph" w:styleId="Heading4">
    <w:name w:val="heading 4"/>
    <w:basedOn w:val="Titolouser"/>
    <w:next w:val="BodyText"/>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locked/>
    <w:rsid w:val="0041045a"/>
    <w:rPr>
      <w:rFonts w:cs="Times New Roman"/>
    </w:rPr>
  </w:style>
  <w:style w:type="character" w:styleId="PidipaginaCarattere" w:customStyle="1">
    <w:name w:val="Piè di pagina Carattere"/>
    <w:basedOn w:val="DefaultParagraphFont"/>
    <w:uiPriority w:val="99"/>
    <w:qFormat/>
    <w:locked/>
    <w:rsid w:val="0041045a"/>
    <w:rPr>
      <w:rFonts w:cs="Times New Roman"/>
    </w:rPr>
  </w:style>
  <w:style w:type="character" w:styleId="TestofumettoCarattere" w:customStyle="1">
    <w:name w:val="Testo fumetto Carattere"/>
    <w:basedOn w:val="DefaultParagraphFont"/>
    <w:uiPriority w:val="99"/>
    <w:semiHidden/>
    <w:qFormat/>
    <w:locked/>
    <w:rsid w:val="001a77c6"/>
    <w:rPr>
      <w:rFonts w:ascii="Tahoma" w:hAnsi="Tahoma" w:cs="Tahoma"/>
      <w:sz w:val="16"/>
      <w:szCs w:val="16"/>
    </w:rPr>
  </w:style>
  <w:style w:type="character" w:styleId="Corpodeltesto2Carattere" w:customStyle="1">
    <w:name w:val="Corpo del testo 2 Carattere"/>
    <w:basedOn w:val="DefaultParagraphFont"/>
    <w:uiPriority w:val="99"/>
    <w:semiHidden/>
    <w:qFormat/>
    <w:locked/>
    <w:rsid w:val="009b722b"/>
    <w:rPr>
      <w:rFonts w:ascii="Times New Roman" w:hAnsi="Times New Roman" w:cs="Times New Roman"/>
      <w:sz w:val="24"/>
      <w:szCs w:val="24"/>
    </w:rPr>
  </w:style>
  <w:style w:type="character" w:styleId="Hyperlink">
    <w:name w:val="Hyperlink"/>
    <w:qFormat/>
    <w:rPr>
      <w:color w:val="000080"/>
      <w:u w:val="single"/>
    </w:rPr>
  </w:style>
  <w:style w:type="character" w:styleId="Caratterepredefinitoparagrafo" w:customStyle="1">
    <w:name w:val="Carattere predefinito paragrafo"/>
    <w:qFormat/>
    <w:rPr/>
  </w:style>
  <w:style w:type="character" w:styleId="FollowedHyperlink">
    <w:name w:val="FollowedHyperlink"/>
    <w:basedOn w:val="Caratterepredefinitoparagrafo"/>
    <w:qFormat/>
    <w:rPr>
      <w:color w:val="800080"/>
      <w:u w:val="single"/>
    </w:rPr>
  </w:style>
  <w:style w:type="character" w:styleId="Strong">
    <w:name w:val="Strong"/>
    <w:qFormat/>
    <w:rPr>
      <w:b/>
      <w:bCs/>
    </w:rPr>
  </w:style>
  <w:style w:type="character" w:styleId="Puntiuser">
    <w:name w:val="Punti (user)"/>
    <w:qFormat/>
    <w:rPr>
      <w:rFonts w:ascii="OpenSymbol" w:hAnsi="OpenSymbol" w:eastAsia="OpenSymbol" w:cs="OpenSymbol"/>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pPr>
      <w:suppressLineNumbers/>
    </w:pPr>
    <w:rPr>
      <w:rFonts w:cs="Mangal"/>
    </w:rPr>
  </w:style>
  <w:style w:type="paragraph" w:styleId="Title">
    <w:name w:val="Title"/>
    <w:basedOn w:val="Normal"/>
    <w:next w:val="BodyText"/>
    <w:qFormat/>
    <w:pPr>
      <w:keepNext w:val="true"/>
      <w:spacing w:before="240" w:after="120"/>
    </w:pPr>
    <w:rPr>
      <w:rFonts w:ascii="Liberation Sans" w:hAnsi="Liberation Sans" w:eastAsia="Microsoft YaHei" w:cs="Mangal"/>
      <w:sz w:val="28"/>
      <w:szCs w:val="28"/>
    </w:rPr>
  </w:style>
  <w:style w:type="paragraph" w:styleId="Default" w:customStyle="1">
    <w:name w:val="Default"/>
    <w:uiPriority w:val="99"/>
    <w:qFormat/>
    <w:rsid w:val="00603b6f"/>
    <w:pPr>
      <w:widowControl w:val="false"/>
      <w:suppressAutoHyphens w:val="true"/>
      <w:bidi w:val="0"/>
      <w:spacing w:before="0" w:after="0"/>
      <w:jc w:val="left"/>
    </w:pPr>
    <w:rPr>
      <w:rFonts w:ascii="Arial Narrow" w:hAnsi="Arial Narrow" w:eastAsia="MS Mincho" w:cs="Arial Narrow"/>
      <w:color w:val="000000"/>
      <w:kern w:val="0"/>
      <w:sz w:val="24"/>
      <w:szCs w:val="24"/>
      <w:lang w:val="it-IT" w:eastAsia="it-IT" w:bidi="ar-SA"/>
    </w:rPr>
  </w:style>
  <w:style w:type="paragraph" w:styleId="ListParagraph">
    <w:name w:val="List Paragraph"/>
    <w:basedOn w:val="Normal"/>
    <w:uiPriority w:val="99"/>
    <w:qFormat/>
    <w:rsid w:val="004468c6"/>
    <w:pPr>
      <w:spacing w:before="0" w:after="0"/>
      <w:ind w:hanging="0" w:left="720"/>
      <w:contextualSpacing/>
    </w:pPr>
    <w:rPr/>
  </w:style>
  <w:style w:type="paragraph" w:styleId="Intestazioneepidipaginauser" w:customStyle="1">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rsid w:val="0041045a"/>
    <w:pPr>
      <w:tabs>
        <w:tab w:val="clear" w:pos="708"/>
        <w:tab w:val="center" w:pos="4819" w:leader="none"/>
        <w:tab w:val="right" w:pos="9638" w:leader="none"/>
      </w:tabs>
    </w:pPr>
    <w:rPr>
      <w:sz w:val="20"/>
      <w:szCs w:val="20"/>
    </w:rPr>
  </w:style>
  <w:style w:type="paragraph" w:styleId="Footer">
    <w:name w:val="footer"/>
    <w:basedOn w:val="Normal"/>
    <w:link w:val="PidipaginaCarattere"/>
    <w:uiPriority w:val="99"/>
    <w:rsid w:val="0041045a"/>
    <w:pPr>
      <w:tabs>
        <w:tab w:val="clear" w:pos="708"/>
        <w:tab w:val="center" w:pos="4819" w:leader="none"/>
        <w:tab w:val="right" w:pos="9638" w:leader="none"/>
      </w:tabs>
    </w:pPr>
    <w:rPr>
      <w:sz w:val="20"/>
      <w:szCs w:val="20"/>
    </w:rPr>
  </w:style>
  <w:style w:type="paragraph" w:styleId="BalloonText">
    <w:name w:val="Balloon Text"/>
    <w:basedOn w:val="Normal"/>
    <w:link w:val="TestofumettoCarattere"/>
    <w:uiPriority w:val="99"/>
    <w:semiHidden/>
    <w:qFormat/>
    <w:rsid w:val="001a77c6"/>
    <w:pPr/>
    <w:rPr>
      <w:rFonts w:ascii="Tahoma" w:hAnsi="Tahoma" w:cs="Tahoma"/>
      <w:sz w:val="16"/>
      <w:szCs w:val="16"/>
    </w:rPr>
  </w:style>
  <w:style w:type="paragraph" w:styleId="BodyText2">
    <w:name w:val="Body Text 2"/>
    <w:basedOn w:val="Normal"/>
    <w:link w:val="Corpodeltesto2Carattere"/>
    <w:uiPriority w:val="99"/>
    <w:semiHidden/>
    <w:qFormat/>
    <w:rsid w:val="009b722b"/>
    <w:pPr>
      <w:tabs>
        <w:tab w:val="clear" w:pos="708"/>
        <w:tab w:val="left" w:pos="360" w:leader="none"/>
      </w:tabs>
      <w:jc w:val="both"/>
    </w:pPr>
    <w:rPr>
      <w:rFonts w:ascii="Times New Roman" w:hAnsi="Times New Roman"/>
    </w:rPr>
  </w:style>
  <w:style w:type="paragraph" w:styleId="Paragrafoelenco1" w:customStyle="1">
    <w:name w:val="Paragrafo elenco1"/>
    <w:basedOn w:val="Normal"/>
    <w:uiPriority w:val="99"/>
    <w:qFormat/>
    <w:rsid w:val="00515cb7"/>
    <w:pPr>
      <w:spacing w:lineRule="auto" w:line="276" w:before="0" w:after="200"/>
      <w:ind w:hanging="0" w:left="720"/>
    </w:pPr>
    <w:rPr>
      <w:rFonts w:ascii="Calibri" w:hAnsi="Calibri" w:eastAsia="SimSun" w:cs="font353"/>
      <w:sz w:val="22"/>
      <w:szCs w:val="22"/>
      <w:lang w:eastAsia="ar-SA"/>
    </w:rPr>
  </w:style>
  <w:style w:type="paragraph" w:styleId="Contenutotabellauser">
    <w:name w:val="Contenuto tabella (user)"/>
    <w:basedOn w:val="Normal"/>
    <w:qFormat/>
    <w:pPr>
      <w:suppressLineNumbers/>
    </w:pPr>
    <w:rPr/>
  </w:style>
  <w:style w:type="paragraph" w:styleId="Titolotabellauser">
    <w:name w:val="Titolo tabella (user)"/>
    <w:basedOn w:val="Contenutotabellauser"/>
    <w:qFormat/>
    <w:pPr>
      <w:suppressLineNumbers/>
      <w:jc w:val="center"/>
    </w:pPr>
    <w:rPr>
      <w:b/>
      <w:bCs/>
    </w:rPr>
  </w:style>
  <w:style w:type="paragraph" w:styleId="Lineaorizzontaleuser">
    <w:name w:val="Linea orizzontale (user)"/>
    <w:basedOn w:val="Normal"/>
    <w:next w:val="BodyText"/>
    <w:qFormat/>
    <w:pPr>
      <w:suppressLineNumbers/>
      <w:pBdr>
        <w:bottom w:val="double" w:sz="2" w:space="0" w:color="808080"/>
      </w:pBdr>
      <w:spacing w:before="0" w:after="283"/>
    </w:pPr>
    <w:rPr>
      <w:sz w:val="12"/>
      <w:szCs w:val="12"/>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yperlink" Target="mailto:reis@comune.santantioco.su.it"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859</TotalTime>
  <Application>LibreOffice/26.2.4.2$Windows_X86_64 LibreOffice_project/0229ac93fcf0d7cbc6376066c6f35021cef002dc</Application>
  <AppVersion>15.0000</AppVersion>
  <Pages>3</Pages>
  <Words>2465</Words>
  <Characters>14645</Characters>
  <CharactersWithSpaces>17242</CharactersWithSpaces>
  <Paragraphs>113</Paragraphs>
  <Company>Alessandro Ciglieri Srls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2025-05-07T08:29:00Z</dcterms:created>
  <dc:creator>Paolo Demuru</dc:creator>
  <dc:description/>
  <dc:language>it-IT</dc:language>
  <cp:lastModifiedBy/>
  <cp:lastPrinted>2024-11-11T10:12:40Z</cp:lastPrinted>
  <dcterms:modified xsi:type="dcterms:W3CDTF">2026-07-14T10:27:38Z</dcterms:modified>
  <cp:revision>122</cp:revision>
  <dc:subject/>
  <dc:title>Oggetto: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