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780" w:type="dxa"/>
        <w:jc w:val="left"/>
        <w:tblInd w:w="-105" w:type="dxa"/>
        <w:tblCellMar>
          <w:top w:w="0" w:type="dxa"/>
          <w:left w:w="0" w:type="dxa"/>
          <w:bottom w:w="0" w:type="dxa"/>
          <w:right w:w="0" w:type="dxa"/>
        </w:tblCellMar>
        <w:tblLook w:val="04a0"/>
      </w:tblPr>
      <w:tblGrid>
        <w:gridCol w:w="9780"/>
      </w:tblGrid>
      <w:tr>
        <w:trPr/>
        <w:tc>
          <w:tcPr>
            <w:tcW w:w="9780" w:type="dxa"/>
            <w:tcBorders>
              <w:bottom w:val="single" w:sz="8" w:space="0" w:color="000000"/>
            </w:tcBorders>
          </w:tcPr>
          <w:p>
            <w:pPr>
              <w:pStyle w:val="Normal"/>
              <w:spacing w:before="0" w:after="120"/>
              <w:jc w:val="both"/>
              <w:rPr/>
            </w:pPr>
            <w:r>
              <w:rPr>
                <w:rFonts w:eastAsia="Times New Roman" w:cs="Times New Roman"/>
                <w:b/>
                <w:bCs/>
                <w:color w:val="000000"/>
                <w:kern w:val="0"/>
                <w:sz w:val="24"/>
                <w:szCs w:val="24"/>
                <w:lang w:val="it-IT" w:eastAsia="it-IT" w:bidi="ar-SA"/>
              </w:rPr>
              <w:t>BANDO DI SELEZIONE PUBBLICA</w:t>
            </w:r>
            <w:r>
              <w:rPr>
                <w:rFonts w:eastAsia="Times New Roman" w:cs="Times New Roman"/>
                <w:b/>
                <w:bCs/>
                <w:color w:val="000000"/>
                <w:sz w:val="24"/>
                <w:szCs w:val="24"/>
                <w:lang w:eastAsia="it-IT"/>
              </w:rPr>
              <w:t xml:space="preserve"> PER </w:t>
            </w:r>
            <w:r>
              <w:rPr>
                <w:rFonts w:eastAsia="Times New Roman" w:cs="Times New Roman"/>
                <w:b/>
                <w:bCs/>
                <w:color w:val="000000"/>
                <w:kern w:val="0"/>
                <w:sz w:val="24"/>
                <w:szCs w:val="24"/>
                <w:lang w:val="it-IT" w:eastAsia="it-IT" w:bidi="ar-SA"/>
              </w:rPr>
              <w:t>SOLI TITOLI</w:t>
            </w:r>
            <w:r>
              <w:rPr>
                <w:rFonts w:eastAsia="Times New Roman" w:cs="Times New Roman"/>
                <w:b/>
                <w:bCs/>
                <w:color w:val="000000"/>
                <w:sz w:val="24"/>
                <w:szCs w:val="24"/>
                <w:lang w:eastAsia="it-IT"/>
              </w:rPr>
              <w:t xml:space="preserve"> PER LA FORMAZIONE DI UNA GRADUATORIA PER L’ASSUNZIONE A TEMPO DETERMINATO PIENO/PART-TIME DI </w:t>
            </w:r>
            <w:r>
              <w:rPr>
                <w:rFonts w:eastAsia="Times New Roman" w:cs="Times New Roman"/>
                <w:b/>
                <w:bCs/>
                <w:color w:val="000000"/>
                <w:kern w:val="0"/>
                <w:sz w:val="24"/>
                <w:szCs w:val="24"/>
                <w:lang w:val="it-IT" w:eastAsia="it-IT" w:bidi="ar-SA"/>
              </w:rPr>
              <w:t>AGENTI</w:t>
            </w:r>
            <w:r>
              <w:rPr>
                <w:rFonts w:eastAsia="Times New Roman" w:cs="Times New Roman"/>
                <w:b/>
                <w:bCs/>
                <w:color w:val="000000"/>
                <w:sz w:val="24"/>
                <w:szCs w:val="24"/>
                <w:lang w:eastAsia="it-IT"/>
              </w:rPr>
              <w:t xml:space="preserve"> DELLA POLIZIA LOCALE - AREA ISTRUTTORI (ex CAT. C) CCNL 16/11/2022</w:t>
            </w:r>
          </w:p>
        </w:tc>
      </w:tr>
    </w:tbl>
    <w:p>
      <w:pPr>
        <w:pStyle w:val="Normal"/>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pacing w:lineRule="auto" w:line="240" w:before="0" w:after="0"/>
        <w:jc w:val="center"/>
        <w:rPr>
          <w:rFonts w:ascii="Calibri" w:hAnsi="Calibri"/>
        </w:rPr>
      </w:pPr>
      <w:r>
        <w:rPr>
          <w:rFonts w:eastAsia="Times New Roman" w:cs="Times New Roman"/>
          <w:b/>
          <w:bCs/>
          <w:color w:val="000000"/>
          <w:sz w:val="28"/>
          <w:szCs w:val="28"/>
          <w:lang w:eastAsia="it-IT"/>
        </w:rPr>
        <w:t>Il Responsabile del Servizio</w:t>
      </w:r>
    </w:p>
    <w:p>
      <w:pPr>
        <w:pStyle w:val="Normal"/>
        <w:spacing w:lineRule="auto" w:line="240" w:before="0" w:after="0"/>
        <w:jc w:val="center"/>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pacing w:lineRule="auto" w:line="240" w:before="0" w:after="0"/>
        <w:jc w:val="both"/>
        <w:rPr/>
      </w:pPr>
      <w:r>
        <w:rPr>
          <w:rFonts w:eastAsia="Times New Roman" w:cs="Times New Roman"/>
          <w:color w:val="000000"/>
          <w:kern w:val="0"/>
          <w:sz w:val="24"/>
          <w:szCs w:val="24"/>
          <w:lang w:val="it-IT" w:eastAsia="it-IT" w:bidi="ar-SA"/>
        </w:rPr>
        <w:t>VISTA</w:t>
      </w:r>
      <w:r>
        <w:rPr>
          <w:rFonts w:eastAsia="Times New Roman" w:cs="Times New Roman"/>
          <w:color w:val="000000"/>
          <w:sz w:val="24"/>
          <w:szCs w:val="24"/>
          <w:lang w:eastAsia="it-IT"/>
        </w:rPr>
        <w:t xml:space="preserve"> la deliberazione della Giunta Comunale n. 66 del 26/04/2018 con la quale è avvenuta la modifica del modello di macro-organizzazione dell’Ente per la gestione dei servizi;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kern w:val="0"/>
          <w:sz w:val="24"/>
          <w:szCs w:val="24"/>
          <w:lang w:val="it-IT" w:eastAsia="it-IT" w:bidi="ar-SA"/>
        </w:rPr>
        <w:t>VISTA</w:t>
      </w:r>
      <w:r>
        <w:rPr>
          <w:rFonts w:eastAsia="Times New Roman" w:cs="Times New Roman"/>
          <w:color w:val="000000"/>
          <w:sz w:val="24"/>
          <w:szCs w:val="24"/>
          <w:lang w:eastAsia="it-IT"/>
        </w:rPr>
        <w:t xml:space="preserve"> la deliberazione della Giunta Comunale n. 30 del 10/03/2023 con la quale è stato modificato l’organigramma e la struttura organizzativa di ciascun servizio;</w:t>
      </w:r>
    </w:p>
    <w:p>
      <w:pPr>
        <w:pStyle w:val="Normal"/>
        <w:spacing w:lineRule="auto" w:line="240" w:before="0" w:after="0"/>
        <w:jc w:val="both"/>
        <w:rPr>
          <w:rFonts w:eastAsia="Times New Roman" w:cs="Times New Roman"/>
          <w:color w:val="000000"/>
          <w:lang w:eastAsia="it-IT"/>
        </w:rPr>
      </w:pPr>
      <w:r>
        <w:rPr>
          <w:rFonts w:eastAsia="Times New Roman" w:cs="Times New Roman"/>
          <w:color w:val="000000"/>
          <w:lang w:eastAsia="it-IT"/>
        </w:rPr>
      </w:r>
    </w:p>
    <w:p>
      <w:pPr>
        <w:pStyle w:val="Normal"/>
        <w:spacing w:lineRule="auto" w:line="240" w:before="0" w:after="0"/>
        <w:jc w:val="both"/>
        <w:rPr>
          <w:rFonts w:ascii="Calibri" w:hAnsi="Calibri"/>
          <w:sz w:val="24"/>
          <w:szCs w:val="24"/>
        </w:rPr>
      </w:pPr>
      <w:r>
        <w:rPr>
          <w:rFonts w:eastAsia="Times New Roman" w:cs="Times New Roman"/>
          <w:color w:val="000000"/>
          <w:kern w:val="0"/>
          <w:sz w:val="24"/>
          <w:szCs w:val="24"/>
          <w:lang w:val="it-IT" w:eastAsia="it-IT" w:bidi="ar-SA"/>
        </w:rPr>
        <w:t>VISTA</w:t>
      </w:r>
      <w:r>
        <w:rPr>
          <w:rFonts w:eastAsia="Times New Roman" w:cs="Times New Roman"/>
          <w:color w:val="000000"/>
          <w:sz w:val="24"/>
          <w:szCs w:val="24"/>
          <w:lang w:eastAsia="it-IT"/>
        </w:rPr>
        <w:t xml:space="preserve"> la deliberazione della Giunta Comunale n. 64 del 11/05/2023 con la quale è stato ulteriormente modificato l’organigramma e la struttura organizzativa di ciascun servizio;</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kern w:val="0"/>
          <w:sz w:val="24"/>
          <w:szCs w:val="24"/>
          <w:lang w:val="it-IT" w:eastAsia="it-IT" w:bidi="ar-SA"/>
        </w:rPr>
        <w:t>VISTA</w:t>
      </w:r>
      <w:r>
        <w:rPr>
          <w:rFonts w:eastAsia="Times New Roman" w:cs="Times New Roman"/>
          <w:color w:val="000000"/>
          <w:sz w:val="24"/>
          <w:szCs w:val="24"/>
          <w:lang w:eastAsia="it-IT"/>
        </w:rPr>
        <w:t xml:space="preserve"> la deliberazione della Giunta comunale n. 184 in data 12/12/2019 con la quale è stato approvato il Piano Triennale delle Azioni Positive; </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sz w:val="24"/>
          <w:szCs w:val="24"/>
          <w:u w:val="none"/>
          <w:lang w:eastAsia="it-IT"/>
        </w:rPr>
        <w:t xml:space="preserve">VISTA la deliberazione di Consiglio Comunale n. 5 </w:t>
      </w:r>
      <w:r>
        <w:rPr>
          <w:rFonts w:eastAsia="Times New Roman" w:cs="Times New Roman"/>
          <w:b w:val="false"/>
          <w:bCs w:val="false"/>
          <w:i w:val="false"/>
          <w:iCs w:val="false"/>
          <w:color w:val="000000"/>
          <w:kern w:val="0"/>
          <w:sz w:val="24"/>
          <w:szCs w:val="24"/>
          <w:u w:val="none"/>
          <w:lang w:val="it-IT" w:eastAsia="it-IT" w:bidi="ar-SA"/>
        </w:rPr>
        <w:t>del</w:t>
      </w:r>
      <w:r>
        <w:rPr>
          <w:rFonts w:eastAsia="Times New Roman" w:cs="Times New Roman"/>
          <w:b w:val="false"/>
          <w:bCs w:val="false"/>
          <w:i w:val="false"/>
          <w:iCs w:val="false"/>
          <w:color w:val="000000"/>
          <w:sz w:val="24"/>
          <w:szCs w:val="24"/>
          <w:u w:val="none"/>
          <w:lang w:eastAsia="it-IT"/>
        </w:rPr>
        <w:t xml:space="preserve"> 04/04/2023, esecutiva ai sensi di legge, con la quale è stato approvato il DUP per il periodo 2023-2025;</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VISTA la deliberazione </w:t>
      </w:r>
      <w:r>
        <w:rPr>
          <w:rFonts w:eastAsia="Times New Roman" w:cs="Times New Roman"/>
          <w:b w:val="false"/>
          <w:bCs w:val="false"/>
          <w:i w:val="false"/>
          <w:iCs w:val="false"/>
          <w:color w:val="000000"/>
          <w:sz w:val="24"/>
          <w:szCs w:val="24"/>
          <w:u w:val="none"/>
          <w:lang w:eastAsia="it-IT"/>
        </w:rPr>
        <w:t>di Consiglio Comunale</w:t>
      </w:r>
      <w:r>
        <w:rPr>
          <w:rFonts w:eastAsia="Times New Roman" w:cs="Times New Roman"/>
          <w:color w:val="000000"/>
          <w:sz w:val="24"/>
          <w:szCs w:val="24"/>
          <w:lang w:eastAsia="it-IT"/>
        </w:rPr>
        <w:t xml:space="preserve"> n. 6 del 04/04/2023 con la quale è stato approvato il Bilancio di Previsione finanziario 2023-2025;</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VISTA la deliberazione della Giunta Comunale n° </w:t>
      </w:r>
      <w:r>
        <w:rPr>
          <w:rFonts w:eastAsia="Times New Roman" w:cs="Times New Roman"/>
          <w:color w:val="000000"/>
          <w:kern w:val="0"/>
          <w:sz w:val="24"/>
          <w:szCs w:val="24"/>
          <w:lang w:val="it-IT" w:eastAsia="it-IT" w:bidi="ar-SA"/>
        </w:rPr>
        <w:t>47</w:t>
      </w:r>
      <w:r>
        <w:rPr>
          <w:rFonts w:eastAsia="Times New Roman" w:cs="Times New Roman"/>
          <w:color w:val="000000"/>
          <w:sz w:val="24"/>
          <w:szCs w:val="24"/>
          <w:lang w:eastAsia="it-IT"/>
        </w:rPr>
        <w:t xml:space="preserve"> del </w:t>
      </w:r>
      <w:r>
        <w:rPr>
          <w:rFonts w:eastAsia="Times New Roman" w:cs="Times New Roman"/>
          <w:color w:val="000000"/>
          <w:kern w:val="0"/>
          <w:sz w:val="24"/>
          <w:szCs w:val="24"/>
          <w:lang w:val="it-IT" w:eastAsia="it-IT" w:bidi="ar-SA"/>
        </w:rPr>
        <w:t>12/04/2023</w:t>
      </w:r>
      <w:r>
        <w:rPr>
          <w:rFonts w:eastAsia="Times New Roman" w:cs="Times New Roman"/>
          <w:color w:val="000000"/>
          <w:sz w:val="24"/>
          <w:szCs w:val="24"/>
          <w:lang w:eastAsia="it-IT"/>
        </w:rPr>
        <w:t xml:space="preserve"> con la quale è stato approvato il PEG per l’anno 2023;</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color w:val="000000"/>
          <w:kern w:val="0"/>
          <w:sz w:val="24"/>
          <w:szCs w:val="24"/>
          <w:lang w:val="it-IT" w:eastAsia="it-IT" w:bidi="ar-SA"/>
        </w:rPr>
        <w:t>VISTA</w:t>
      </w:r>
      <w:r>
        <w:rPr>
          <w:rFonts w:eastAsia="Times New Roman" w:cs="Times New Roman"/>
          <w:sz w:val="24"/>
          <w:szCs w:val="24"/>
          <w:lang w:eastAsia="it-IT"/>
        </w:rPr>
        <w:t xml:space="preserve"> la deliberazione della Giunta Comunale n. 185 del 28/10/2022 di Adozione del Piano Integrato di Attività e Organizzazione (PIAO) - Art. 6, D.L. n. 80/2021,  2022 – 2023;</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pPr>
      <w:r>
        <w:rPr>
          <w:rFonts w:eastAsia="Times New Roman" w:cs="Times New Roman"/>
          <w:color w:val="000000"/>
          <w:kern w:val="0"/>
          <w:sz w:val="24"/>
          <w:szCs w:val="24"/>
          <w:lang w:val="it-IT" w:eastAsia="it-IT" w:bidi="ar-SA"/>
        </w:rPr>
        <w:t>VISTA</w:t>
      </w:r>
      <w:r>
        <w:rPr>
          <w:rFonts w:eastAsia="Times New Roman" w:cs="Times New Roman"/>
          <w:sz w:val="24"/>
          <w:szCs w:val="24"/>
          <w:lang w:eastAsia="it-IT"/>
        </w:rPr>
        <w:t xml:space="preserve"> la programmazione del fabbisogno di personale per il triennio 2022/2024, approvata con la Deliberazione di Giunta </w:t>
      </w:r>
      <w:r>
        <w:rPr>
          <w:rFonts w:eastAsia="Times New Roman" w:cs="Times New Roman"/>
          <w:color w:val="auto"/>
          <w:kern w:val="0"/>
          <w:sz w:val="24"/>
          <w:szCs w:val="24"/>
          <w:lang w:val="it-IT" w:eastAsia="it-IT" w:bidi="ar-SA"/>
        </w:rPr>
        <w:t>Municipale</w:t>
      </w:r>
      <w:r>
        <w:rPr>
          <w:rFonts w:eastAsia="Times New Roman" w:cs="Times New Roman"/>
          <w:sz w:val="24"/>
          <w:szCs w:val="24"/>
          <w:lang w:eastAsia="it-IT"/>
        </w:rPr>
        <w:t xml:space="preserve"> n. 158 del 07/12/2021, successivamente modificata con le deliberazioni della Giunta Municipale n. 8 del 24/01/2022, n. 23 del 23/02/2022  e n. 92 del 27/05/2022, con la quale si è stabilito di provvedere nell’annualità 2023 all’assunzione</w:t>
      </w:r>
      <w:r>
        <w:rPr>
          <w:rFonts w:eastAsia="Times New Roman" w:cs="Calibri"/>
          <w:sz w:val="24"/>
          <w:szCs w:val="24"/>
          <w:lang w:eastAsia="it-IT"/>
        </w:rPr>
        <w:t xml:space="preserve"> stagionale di n. 4 unità di personale con il profilo di “Agente della Polizia locale”, Area Istruttori (ex categoria C) CCNL 16/11/2022, a tempo parziale 67,77 % e determinato per la durata di 4 mesi, da assegnare al Settore Vigilanza;</w:t>
      </w:r>
    </w:p>
    <w:p>
      <w:pPr>
        <w:pStyle w:val="Normal"/>
        <w:spacing w:lineRule="auto" w:line="240" w:before="0" w:after="0"/>
        <w:jc w:val="both"/>
        <w:rPr>
          <w:rFonts w:ascii="Calibri" w:hAnsi="Calibri"/>
          <w:b w:val="false"/>
          <w:b w:val="false"/>
          <w:bCs w:val="false"/>
          <w:i w:val="false"/>
          <w:i w:val="false"/>
          <w:iCs w:val="false"/>
          <w:color w:val="000000"/>
          <w:sz w:val="24"/>
          <w:szCs w:val="24"/>
          <w:u w:val="none"/>
        </w:rPr>
      </w:pPr>
      <w:r>
        <w:rPr>
          <w:b w:val="false"/>
          <w:bCs w:val="false"/>
          <w:i w:val="false"/>
          <w:iCs w:val="false"/>
          <w:color w:val="000000"/>
          <w:sz w:val="24"/>
          <w:szCs w:val="24"/>
          <w:u w:val="none"/>
        </w:rPr>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0"/>
          <w:sz w:val="24"/>
          <w:szCs w:val="24"/>
          <w:u w:val="none"/>
          <w:lang w:val="it-IT" w:eastAsia="it-IT" w:bidi="ar-SA"/>
        </w:rPr>
        <w:t>VISTO il Regolamento delle procedure di selezione del personale del Comune di Sant’Antioco, approvato con la deliberazione della Giunta Municipale n. 216 del 27/11/2018 e successivamente modificato con le deliberazioni della Giunta Municipale n. 14 del 24/02/2020, n. 55 del 15/05/2020 e n. 179 del 30/12/2021;</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kern w:val="0"/>
          <w:sz w:val="24"/>
          <w:szCs w:val="24"/>
          <w:lang w:val="it-IT" w:eastAsia="it-IT" w:bidi="ar-SA"/>
        </w:rPr>
        <w:t>VISTI</w:t>
      </w:r>
      <w:r>
        <w:rPr>
          <w:rFonts w:eastAsia="Times New Roman" w:cs="Times New Roman"/>
          <w:color w:val="000000"/>
          <w:sz w:val="24"/>
          <w:szCs w:val="24"/>
          <w:lang w:eastAsia="it-IT"/>
        </w:rPr>
        <w:t xml:space="preserve">: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D.lgs. 165/2001 e successive modifiche ed integrazioni (Norme generali sull'ordinamento del lavoro alle dipendenze delle amministrazioni pubbliche);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Il D.Lgs. n. 267/2000 e successive modifiche ed integrazioni (Testo Unico sull’Ordinamento degli enti locali);</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L’Ordinamento Professionale e i Contratti Collettivi Nazionali di lavoro vigenti nel comparto Regioni ed Autonomie Locali;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vigente Regolamento per l’Ordinamento degli Uffici e Servizi del Comune di Sant’Antioco;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D.P.R. 487/1994 e successive modifiche ed integrazioni (Norme sull’accesso agli impieghi nelle pubbliche amministrazioni e modalità di svolgimento dei concorsi);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D.P.C.M. n. 174/1994 (Regolamento recante norme sull’accesso dei cittadini degli Stati membri dell’Unione Europea ai posti di lavoro presso le amministrazioni pubbliche);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D.Lgs. 82/2005 e s.m.i. (Codice dell’amministrazione digitale);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D.P.R. 445/2000 e s.m.i. (Normativa in materia di documentazione amministrativa);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D.Lgs. n. 198/2006 e </w:t>
      </w:r>
      <w:r>
        <w:rPr>
          <w:rFonts w:eastAsia="Times New Roman" w:cs="Times New Roman"/>
          <w:color w:val="000000"/>
          <w:kern w:val="0"/>
          <w:sz w:val="24"/>
          <w:szCs w:val="24"/>
          <w:lang w:val="it-IT" w:eastAsia="it-IT" w:bidi="ar-SA"/>
        </w:rPr>
        <w:t>ss.ii.mm.</w:t>
      </w:r>
      <w:r>
        <w:rPr>
          <w:rFonts w:eastAsia="Times New Roman" w:cs="Times New Roman"/>
          <w:color w:val="000000"/>
          <w:sz w:val="24"/>
          <w:szCs w:val="24"/>
          <w:lang w:eastAsia="it-IT"/>
        </w:rPr>
        <w:t xml:space="preserve"> (codice delle pari opportunità tra uomo e donna) e il Regolamento UE 2016/679 “Regolamento generale sulla protezione dei dati – GDPR”;</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D.Lgs. n. 196/2003 e successive modifiche ed integrazioni (Codice in materia di protezione dei dati personali);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 Legge n. 104/1992 e successive modifiche ed integrazioni (Legge-quadro per l’assistenza, l’integrazione sociale e i diritti delle persone disabili); </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La L. 68/1999 e successive modifiche ed integrazioni (Norme per il diritto al lavoro dei disabili);</w:t>
      </w:r>
    </w:p>
    <w:p>
      <w:pPr>
        <w:pStyle w:val="Normal"/>
        <w:numPr>
          <w:ilvl w:val="0"/>
          <w:numId w:val="2"/>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 Lgs. 33/2013 e successive modifiche ed integrazioni (Riordino della disciplina riguardante gli obblighi di pubblicità, trasparenza e diffusione di informazioni da parte delle pubbliche amministrazioni). </w:t>
      </w:r>
    </w:p>
    <w:p>
      <w:pPr>
        <w:pStyle w:val="Normal"/>
        <w:numPr>
          <w:ilvl w:val="0"/>
          <w:numId w:val="2"/>
        </w:numPr>
        <w:spacing w:lineRule="auto" w:line="240" w:before="0" w:after="0"/>
        <w:jc w:val="both"/>
        <w:rPr>
          <w:rFonts w:ascii="Calibri" w:hAnsi="Calibri" w:cs="" w:asciiTheme="minorHAnsi" w:cstheme="minorBidi" w:hAnsiTheme="minorHAnsi"/>
          <w:sz w:val="24"/>
          <w:szCs w:val="24"/>
        </w:rPr>
      </w:pPr>
      <w:r>
        <w:rPr>
          <w:rFonts w:eastAsia="Calibri" w:cs="" w:cstheme="minorBidi" w:eastAsiaTheme="minorHAnsi"/>
          <w:sz w:val="24"/>
          <w:szCs w:val="24"/>
        </w:rPr>
        <w:t xml:space="preserve">Il D. L. 34/2020, convertito con modificazioni dalla L. 17 luglio 2020, n. 77 (Misure urgenti in materia di salute, sostegno al lavoro e all'economia, nonché di politiche sociali connesse all'emergenza epidemiologica da COVID-19); </w:t>
      </w:r>
    </w:p>
    <w:p>
      <w:pPr>
        <w:pStyle w:val="Normal"/>
        <w:spacing w:lineRule="auto" w:line="240" w:before="0" w:after="0"/>
        <w:jc w:val="both"/>
        <w:rPr>
          <w:rFonts w:ascii="Calibri" w:hAnsi="Calibri"/>
          <w:color w:val="000000"/>
          <w:sz w:val="24"/>
          <w:szCs w:val="24"/>
        </w:rPr>
      </w:pPr>
      <w:r>
        <w:rPr>
          <w:color w:val="000000"/>
          <w:sz w:val="24"/>
          <w:szCs w:val="24"/>
        </w:rPr>
      </w:r>
    </w:p>
    <w:p>
      <w:pPr>
        <w:pStyle w:val="Normal"/>
        <w:spacing w:lineRule="auto" w:line="240" w:before="0" w:after="0"/>
        <w:jc w:val="both"/>
        <w:rPr/>
      </w:pPr>
      <w:r>
        <w:rPr>
          <w:rFonts w:eastAsia="Times New Roman" w:cs="Times New Roman"/>
          <w:color w:val="000000"/>
          <w:kern w:val="0"/>
          <w:sz w:val="24"/>
          <w:szCs w:val="24"/>
          <w:lang w:val="it-IT" w:eastAsia="it-IT" w:bidi="ar-SA"/>
        </w:rPr>
        <w:t>STABILITO</w:t>
      </w:r>
      <w:r>
        <w:rPr>
          <w:rFonts w:eastAsia="Times New Roman" w:cs="Times New Roman"/>
          <w:color w:val="000000"/>
          <w:sz w:val="24"/>
          <w:szCs w:val="24"/>
          <w:lang w:eastAsia="it-IT"/>
        </w:rPr>
        <w:t xml:space="preserve"> che la presente selezione darà origine alla formazione di una graduatoria della validità di </w:t>
      </w:r>
      <w:r>
        <w:rPr>
          <w:rFonts w:eastAsia="Times New Roman" w:cs="Times New Roman"/>
          <w:color w:val="000000"/>
          <w:kern w:val="0"/>
          <w:sz w:val="24"/>
          <w:szCs w:val="24"/>
          <w:lang w:val="it-IT" w:eastAsia="it-IT" w:bidi="ar-SA"/>
        </w:rPr>
        <w:t>due</w:t>
      </w:r>
      <w:r>
        <w:rPr>
          <w:rFonts w:eastAsia="Times New Roman" w:cs="Times New Roman"/>
          <w:color w:val="000000"/>
          <w:sz w:val="24"/>
          <w:szCs w:val="24"/>
          <w:lang w:eastAsia="it-IT"/>
        </w:rPr>
        <w:t xml:space="preserve"> annualità, utilizzabile per assunzioni a tempo determinato pieno/part-time che risultassero dalla Programmazione del Fabbisogno di personale straordinario per il </w:t>
      </w:r>
      <w:r>
        <w:rPr>
          <w:rFonts w:eastAsia="Times New Roman" w:cs="Times New Roman"/>
          <w:color w:val="000000"/>
          <w:kern w:val="0"/>
          <w:sz w:val="24"/>
          <w:szCs w:val="24"/>
          <w:lang w:val="it-IT" w:eastAsia="it-IT" w:bidi="ar-SA"/>
        </w:rPr>
        <w:t>biennio</w:t>
      </w:r>
      <w:r>
        <w:rPr>
          <w:rFonts w:eastAsia="Times New Roman" w:cs="Times New Roman"/>
          <w:color w:val="000000"/>
          <w:sz w:val="24"/>
          <w:szCs w:val="24"/>
          <w:lang w:eastAsia="it-IT"/>
        </w:rPr>
        <w:t xml:space="preserve"> di efficacia della stessa;</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In esecuzione di quando disposto con propria determinazione n. </w:t>
      </w:r>
      <w:r>
        <w:rPr>
          <w:rFonts w:eastAsia="Times New Roman" w:cs="Times New Roman"/>
          <w:color w:val="000000"/>
          <w:kern w:val="0"/>
          <w:sz w:val="24"/>
          <w:szCs w:val="24"/>
          <w:lang w:val="it-IT" w:eastAsia="it-IT" w:bidi="ar-SA"/>
        </w:rPr>
        <w:t>XX</w:t>
      </w:r>
      <w:r>
        <w:rPr>
          <w:rFonts w:eastAsia="Times New Roman" w:cs="Times New Roman"/>
          <w:color w:val="000000"/>
          <w:sz w:val="24"/>
          <w:szCs w:val="24"/>
          <w:lang w:eastAsia="it-IT"/>
        </w:rPr>
        <w:t xml:space="preserve"> del XX/XX/2023;</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center"/>
        <w:rPr>
          <w:rFonts w:ascii="Calibri" w:hAnsi="Calibri"/>
          <w:sz w:val="24"/>
          <w:szCs w:val="24"/>
        </w:rPr>
      </w:pPr>
      <w:r>
        <w:rPr>
          <w:rFonts w:eastAsia="Times New Roman" w:cs="Times New Roman"/>
          <w:b/>
          <w:bCs/>
          <w:color w:val="000000"/>
          <w:sz w:val="24"/>
          <w:szCs w:val="24"/>
          <w:lang w:eastAsia="it-IT"/>
        </w:rPr>
        <w:t>RENDE NOTO</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Che è indetta una selezione pubblica per soli </w:t>
      </w:r>
      <w:r>
        <w:rPr>
          <w:rFonts w:eastAsia="Times New Roman" w:cs="Times New Roman"/>
          <w:color w:val="000000"/>
          <w:kern w:val="0"/>
          <w:sz w:val="24"/>
          <w:szCs w:val="24"/>
          <w:lang w:val="it-IT" w:eastAsia="it-IT" w:bidi="ar-SA"/>
        </w:rPr>
        <w:t>titoli</w:t>
      </w:r>
      <w:r>
        <w:rPr>
          <w:rFonts w:eastAsia="Times New Roman" w:cs="Times New Roman"/>
          <w:color w:val="000000"/>
          <w:sz w:val="24"/>
          <w:szCs w:val="24"/>
          <w:lang w:eastAsia="it-IT"/>
        </w:rPr>
        <w:t xml:space="preserve">, per la formazione di una graduatoria da utilizzare per l’assunzione a tempo determinato pieno/part-time di </w:t>
      </w:r>
      <w:r>
        <w:rPr>
          <w:rFonts w:eastAsia="Times New Roman" w:cs="Times New Roman"/>
          <w:b/>
          <w:bCs/>
          <w:color w:val="000000"/>
          <w:sz w:val="24"/>
          <w:szCs w:val="24"/>
          <w:lang w:eastAsia="it-IT"/>
        </w:rPr>
        <w:t>“Agente della Polizia Locale” – Area Istruttori (ex cat. C)</w:t>
      </w:r>
      <w:r>
        <w:rPr>
          <w:rFonts w:eastAsia="Times New Roman" w:cs="Times New Roman"/>
          <w:color w:val="000000"/>
          <w:sz w:val="24"/>
          <w:szCs w:val="24"/>
          <w:lang w:eastAsia="it-IT"/>
        </w:rPr>
        <w:t>, da assegnare al Settore Vigilanza;</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sz w:val="24"/>
          <w:szCs w:val="24"/>
          <w:lang w:eastAsia="it-IT"/>
        </w:rPr>
        <w:t xml:space="preserve">La selezione sarà espletata con le modalità, i criteri e le condizioni di partecipazione previsti </w:t>
      </w:r>
      <w:r>
        <w:rPr>
          <w:rFonts w:eastAsia="Times New Roman" w:cs="Times New Roman"/>
          <w:color w:val="000000"/>
          <w:kern w:val="0"/>
          <w:sz w:val="24"/>
          <w:szCs w:val="24"/>
          <w:lang w:val="it-IT" w:eastAsia="it-IT" w:bidi="ar-SA"/>
        </w:rPr>
        <w:t>dal Bando</w:t>
      </w:r>
      <w:r>
        <w:rPr>
          <w:rFonts w:eastAsia="Times New Roman" w:cs="Times New Roman"/>
          <w:color w:val="000000"/>
          <w:sz w:val="24"/>
          <w:szCs w:val="24"/>
          <w:lang w:eastAsia="it-IT"/>
        </w:rPr>
        <w:t xml:space="preserve"> e dal vigente Regolamento degli Uffici e Servizi del Comune di Sant’Antioco. Per tutto quanto non espressamente disciplinato dal presente </w:t>
      </w:r>
      <w:r>
        <w:rPr>
          <w:rFonts w:eastAsia="Times New Roman" w:cs="Times New Roman"/>
          <w:color w:val="000000"/>
          <w:kern w:val="0"/>
          <w:sz w:val="24"/>
          <w:szCs w:val="24"/>
          <w:lang w:val="it-IT" w:eastAsia="it-IT" w:bidi="ar-SA"/>
        </w:rPr>
        <w:t>Bando</w:t>
      </w:r>
      <w:r>
        <w:rPr>
          <w:rFonts w:eastAsia="Times New Roman" w:cs="Times New Roman"/>
          <w:color w:val="000000"/>
          <w:sz w:val="24"/>
          <w:szCs w:val="24"/>
          <w:lang w:eastAsia="it-IT"/>
        </w:rPr>
        <w:t xml:space="preserve">, trova applicazione la normativa regolamentare vigente in materia.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Default"/>
        <w:jc w:val="both"/>
        <w:rPr>
          <w:rFonts w:ascii="Calibri" w:hAnsi="Calibri"/>
          <w:sz w:val="24"/>
          <w:szCs w:val="24"/>
        </w:rPr>
      </w:pPr>
      <w:r>
        <w:rPr>
          <w:rFonts w:eastAsia="Times New Roman" w:ascii="Calibri" w:hAnsi="Calibri"/>
          <w:color w:val="000000"/>
          <w:sz w:val="24"/>
          <w:szCs w:val="24"/>
          <w:lang w:eastAsia="it-IT"/>
        </w:rPr>
        <w:t>Ai sensi dell’art. 1014, co.4 e dell’art. 678, comma 9 del d.lgs. 66/2010, la riserva per i volontari delle FF.AA. si applica a scorrimento della graduatoria, secondo le previsioni del d. lgs. 28 gennaio 2014, n. 8 (G.U. n.34 del 11.2.2014), che contiene la previsione della quota di riserva nei bandi di assunzione nella polizia municipale e provinciale pari al 20%.</w:t>
      </w:r>
    </w:p>
    <w:p>
      <w:pPr>
        <w:pStyle w:val="Default"/>
        <w:rPr>
          <w:rFonts w:ascii="Calibri" w:hAnsi="Calibri" w:eastAsia="Times New Roman"/>
          <w:color w:val="000000"/>
          <w:sz w:val="24"/>
          <w:szCs w:val="24"/>
          <w:lang w:eastAsia="it-IT"/>
        </w:rPr>
      </w:pPr>
      <w:r>
        <w:rPr>
          <w:rFonts w:eastAsia="Times New Roman" w:ascii="Calibri" w:hAnsi="Calibri"/>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È garantita parità e pari opportunità tra uomini e donne per l’accesso al lavoro e per il trattamento sul lavoro, ai sensi della vigente disciplina in materia.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1 – </w:t>
      </w:r>
      <w:r>
        <w:rPr>
          <w:rFonts w:eastAsia="Times New Roman" w:cs="Times New Roman"/>
          <w:b/>
          <w:bCs/>
          <w:i/>
          <w:iCs/>
          <w:color w:val="000000"/>
          <w:kern w:val="0"/>
          <w:sz w:val="24"/>
          <w:szCs w:val="24"/>
          <w:lang w:val="it-IT" w:eastAsia="it-IT" w:bidi="ar-SA"/>
        </w:rPr>
        <w:t>DESCRIZIONE PROFILO PROFESSIONALE</w:t>
      </w:r>
      <w:r>
        <w:rPr>
          <w:rFonts w:eastAsia="Times New Roman" w:cs="Times New Roman"/>
          <w:b/>
          <w:bCs/>
          <w:i/>
          <w:iCs/>
          <w:color w:val="000000"/>
          <w:sz w:val="24"/>
          <w:szCs w:val="24"/>
          <w:lang w:eastAsia="it-IT"/>
        </w:rPr>
        <w:t xml:space="preserve"> </w:t>
      </w:r>
    </w:p>
    <w:p>
      <w:pPr>
        <w:pStyle w:val="Normal"/>
        <w:spacing w:lineRule="auto" w:line="240" w:before="0" w:after="0"/>
        <w:jc w:val="both"/>
        <w:rPr>
          <w:rFonts w:ascii="Calibri" w:hAnsi="Calibri"/>
          <w:sz w:val="24"/>
          <w:szCs w:val="24"/>
        </w:rPr>
      </w:pPr>
      <w:r>
        <w:rPr>
          <w:rFonts w:eastAsia="Times New Roman" w:cs="Times New Roman"/>
          <w:color w:val="000000"/>
          <w:kern w:val="0"/>
          <w:sz w:val="24"/>
          <w:szCs w:val="24"/>
          <w:lang w:val="it-IT" w:eastAsia="it-IT" w:bidi="ar-SA"/>
        </w:rPr>
        <w:t>Il personale assunto</w:t>
      </w:r>
      <w:r>
        <w:rPr>
          <w:rFonts w:eastAsia="Times New Roman" w:cs="Times New Roman"/>
          <w:color w:val="000000"/>
          <w:sz w:val="24"/>
          <w:szCs w:val="24"/>
          <w:lang w:eastAsia="it-IT"/>
        </w:rPr>
        <w:t xml:space="preserve"> sarà chiamato a svolgere le mansione proprie dell’Area degli Istruttori, in ragione di quanto indicato nelle declaratorie professionali di cui all’allegato A del CCNL 16.11.2022 nonché in forza di quanto specificato nella normativa di settore.</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In via principale, le funzioni di Polizia locale sono espressamente previste dalla Legge n. 65 del 07.03.1986 “Legge quadro sull'ordinamento della Polizia municipale" e dalla Legge regionale 1° aprile 2015 n. 6 "Disciplina regionale dei servizi di P.L. e promozione di politiche integrate di sicurezza urbana”. </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dipendente ha la piena responsabilità dell’attività svolta in ragione delle istruzioni eventualmente impartite, nel quadro degli obiettivi generali previsti dal piano di lavoro. La figura professionale ricercata, è addetta, in via generale ed esemplificativa, ad attività di vigilanza in materia di polizia amministrativa, commerciale, stradale e giudiziaria e quant’altro afferente alla sicurezza pubblica e urbana nei limiti e nel rispetto delle Leggi e dei Regolamenti, in particolare: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espleta i servizi di polizia stradale ai sensi di legge;</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esercita le funzioni di polizia locale indicate dalla legge 7.3.1986, n. 65 e dalla legge regionale 1.4.2015 n. e regolamenti attuativi;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concorre al mantenimento dell’ordine pubblico nell’ambito delle funzioni ausiliarie di pubblica sicurezza;</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 svolge tutte le eventuali attività di interesse generale dell’amministrazione comunale, nell’ambito dei compiti istituzionali;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collabora con le forze di Polizia di Stato e con gli organismi della protezione civile, nell’ambito delle proprie attribuzioni;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effettua servizi d’ordine e di rappresentanza in occasione di pubbliche funzioni e manifestazioni cittadine;</w:t>
      </w:r>
    </w:p>
    <w:p>
      <w:pPr>
        <w:pStyle w:val="Normal"/>
        <w:spacing w:lineRule="auto" w:line="240" w:before="0" w:after="0"/>
        <w:jc w:val="both"/>
        <w:rPr>
          <w:rFonts w:ascii="Calibri" w:hAnsi="Calibri" w:eastAsia="Times New Roman" w:cs="Times New Roman"/>
          <w:sz w:val="24"/>
          <w:szCs w:val="24"/>
          <w:lang w:eastAsia="it-IT"/>
        </w:rPr>
      </w:pPr>
      <w:r>
        <w:rPr>
          <w:rFonts w:eastAsia="Times New Roman" w:cs="Times New Roman"/>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Si rapporta direttamente con il Responsabile del Settore </w:t>
      </w:r>
      <w:r>
        <w:rPr>
          <w:rFonts w:eastAsia="Times New Roman" w:cs="Times New Roman"/>
          <w:color w:val="000000"/>
          <w:kern w:val="0"/>
          <w:sz w:val="24"/>
          <w:szCs w:val="24"/>
          <w:lang w:val="it-IT" w:eastAsia="it-IT" w:bidi="ar-SA"/>
        </w:rPr>
        <w:t>Vigilanza</w:t>
      </w:r>
      <w:r>
        <w:rPr>
          <w:rFonts w:eastAsia="Times New Roman" w:cs="Times New Roman"/>
          <w:color w:val="000000"/>
          <w:sz w:val="24"/>
          <w:szCs w:val="24"/>
          <w:lang w:eastAsia="it-IT"/>
        </w:rPr>
        <w:t xml:space="preserve"> ed eventuali figure di coordinamento.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L’agente della polizia locale può essere dotato dell’armamento, secondo quanto disposto dal regolamento speciale in attuazione del D.M. 4.3.1987 n. 145, ed è tenuto a condurre tutti i mezzi in dotazione del Settore e ad utilizzare gli strumenti e le apparecchiature tecniche di cui viene munito per l’esecuzione degli interventi.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2 - TRATTAMENTO ECONOMICO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Al personale assunto in esito alla selezione di cui al presente avviso, sarà assegnato:</w:t>
      </w:r>
    </w:p>
    <w:p>
      <w:pPr>
        <w:pStyle w:val="Normal"/>
        <w:numPr>
          <w:ilvl w:val="0"/>
          <w:numId w:val="3"/>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stipendio tabellare iniziale lordo annuo; </w:t>
      </w:r>
    </w:p>
    <w:p>
      <w:pPr>
        <w:pStyle w:val="Normal"/>
        <w:numPr>
          <w:ilvl w:val="0"/>
          <w:numId w:val="3"/>
        </w:numPr>
        <w:spacing w:lineRule="auto" w:line="240" w:before="0" w:after="0"/>
        <w:jc w:val="both"/>
        <w:rPr>
          <w:rFonts w:ascii="Calibri" w:hAnsi="Calibri"/>
          <w:sz w:val="24"/>
          <w:szCs w:val="24"/>
        </w:rPr>
      </w:pPr>
      <w:r>
        <w:rPr>
          <w:rFonts w:eastAsia="Times New Roman" w:cs="Times New Roman"/>
          <w:color w:val="000000"/>
          <w:sz w:val="24"/>
          <w:szCs w:val="24"/>
          <w:lang w:eastAsia="it-IT"/>
        </w:rPr>
        <w:t>indennità di comparto lorda annua;</w:t>
      </w:r>
    </w:p>
    <w:p>
      <w:pPr>
        <w:pStyle w:val="Normal"/>
        <w:numPr>
          <w:ilvl w:val="0"/>
          <w:numId w:val="3"/>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indennità di vigilanza; </w:t>
      </w:r>
    </w:p>
    <w:p>
      <w:pPr>
        <w:pStyle w:val="Normal"/>
        <w:numPr>
          <w:ilvl w:val="0"/>
          <w:numId w:val="3"/>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tredicesima mensilità; </w:t>
      </w:r>
    </w:p>
    <w:p>
      <w:pPr>
        <w:pStyle w:val="Normal"/>
        <w:numPr>
          <w:ilvl w:val="0"/>
          <w:numId w:val="3"/>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assegno per il nucleo familiare, se spettante; </w:t>
      </w:r>
    </w:p>
    <w:p>
      <w:pPr>
        <w:pStyle w:val="Normal"/>
        <w:numPr>
          <w:ilvl w:val="0"/>
          <w:numId w:val="3"/>
        </w:numPr>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altri assegni ed indennità dovuti per legge e contratti collettivi.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Le voci stipendiali saranno incrementate con gli eventuali benefici derivanti dai C.C.N.L. sottoscritti e valevoli nel tempo in cui si dispiegherà il rapporto di lavoro.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trattamento economico sarà regolarmente assoggettato alle ritenute fiscali, previdenziali ed assistenziali, nelle misure stabilite dalla legge.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Gli assunti saranno iscritti ai competenti istituti ai fini previdenziali ed assistenziali, secondo gli obblighi di legge vigenti per i dipendenti degli Enti Locali.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Ai fini del trattamento giuridico e normativo del rapporto di lavoro, si applicano le disposizioni legislative, regolamentari, contrattuali nazionali e decentrate vigenti, nel tempo, per il personale non dirigente del comparto gli enti locali con rapporto di lavoro a tempo indeterminato. </w:t>
      </w:r>
    </w:p>
    <w:p>
      <w:pPr>
        <w:pStyle w:val="Normal"/>
        <w:pBdr>
          <w:bottom w:val="single" w:sz="6" w:space="4" w:color="4F81BD"/>
        </w:pBdr>
        <w:spacing w:lineRule="auto" w:line="240" w:before="0" w:after="0"/>
        <w:ind w:right="936" w:hanging="0"/>
        <w:jc w:val="both"/>
        <w:rPr>
          <w:rFonts w:ascii="Calibri" w:hAnsi="Calibri" w:eastAsia="Times New Roman" w:cs="Times New Roman"/>
          <w:b/>
          <w:b/>
          <w:bCs/>
          <w:i/>
          <w:i/>
          <w:iCs/>
          <w:color w:val="000000"/>
          <w:sz w:val="24"/>
          <w:szCs w:val="24"/>
          <w:lang w:eastAsia="it-IT"/>
        </w:rPr>
      </w:pPr>
      <w:r>
        <w:rPr>
          <w:rFonts w:eastAsia="Times New Roman" w:cs="Times New Roman"/>
          <w:b/>
          <w:bCs/>
          <w:i/>
          <w:iCs/>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3 - REQUISITI PER L’AMMISSIONE ALLA SELEZIONE </w:t>
      </w:r>
    </w:p>
    <w:p>
      <w:pPr>
        <w:pStyle w:val="Normal"/>
        <w:spacing w:lineRule="auto" w:line="240" w:before="0" w:after="0"/>
        <w:jc w:val="both"/>
        <w:rPr/>
      </w:pPr>
      <w:r>
        <w:rPr>
          <w:rFonts w:eastAsia="Times New Roman" w:cs="Times New Roman"/>
          <w:color w:val="000000"/>
          <w:sz w:val="24"/>
          <w:szCs w:val="24"/>
          <w:lang w:eastAsia="it-IT"/>
        </w:rPr>
        <w:t xml:space="preserve">Possono partecipare alla selezione gli aspiranti candidati di ambo i sessi che alla data di scadenza del termine stabilito dal presente </w:t>
      </w:r>
      <w:r>
        <w:rPr>
          <w:rFonts w:eastAsia="Times New Roman" w:cs="Times New Roman"/>
          <w:color w:val="000000"/>
          <w:kern w:val="0"/>
          <w:sz w:val="24"/>
          <w:szCs w:val="24"/>
          <w:lang w:val="it-IT" w:eastAsia="it-IT" w:bidi="ar-SA"/>
        </w:rPr>
        <w:t>Bando,</w:t>
      </w:r>
      <w:r>
        <w:rPr>
          <w:rFonts w:eastAsia="Times New Roman" w:cs="Times New Roman"/>
          <w:color w:val="000000"/>
          <w:sz w:val="24"/>
          <w:szCs w:val="24"/>
          <w:lang w:eastAsia="it-IT"/>
        </w:rPr>
        <w:t xml:space="preserve"> per la presentazione della domanda di ammissione, siano in possesso dei seguenti requisiti che dovranno permanere anche al momento dell’assunzione, in particolare:</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 xml:space="preserve">Possesso di Diploma di Istruzione Secondaria superiore di durata quinquennale. </w:t>
      </w:r>
    </w:p>
    <w:p>
      <w:pPr>
        <w:pStyle w:val="Normal"/>
        <w:spacing w:lineRule="auto" w:line="240" w:before="0" w:after="0"/>
        <w:ind w:left="425" w:hanging="0"/>
        <w:jc w:val="both"/>
        <w:rPr>
          <w:rFonts w:ascii="Calibri" w:hAnsi="Calibri"/>
          <w:sz w:val="24"/>
          <w:szCs w:val="24"/>
        </w:rPr>
      </w:pPr>
      <w:r>
        <w:rPr>
          <w:rFonts w:eastAsia="Times New Roman" w:cs="Times New Roman"/>
          <w:color w:val="000000"/>
          <w:sz w:val="24"/>
          <w:szCs w:val="24"/>
          <w:lang w:eastAsia="it-IT"/>
        </w:rPr>
        <w:t xml:space="preserve">Nel caso di titoli equipollenti a quelli indicati, sarà cura del candidato dimostrare la suddetta equipollenza mediante l’indicazione di un provvedimento normativo che la sancisce. </w:t>
      </w:r>
    </w:p>
    <w:p>
      <w:pPr>
        <w:pStyle w:val="Normal"/>
        <w:spacing w:lineRule="auto" w:line="240" w:before="0" w:after="0"/>
        <w:ind w:left="425" w:hanging="0"/>
        <w:jc w:val="both"/>
        <w:rPr>
          <w:rFonts w:ascii="Calibri" w:hAnsi="Calibri"/>
          <w:sz w:val="24"/>
          <w:szCs w:val="24"/>
        </w:rPr>
      </w:pPr>
      <w:r>
        <w:rPr>
          <w:rFonts w:eastAsia="Times New Roman" w:cs="Times New Roman"/>
          <w:color w:val="000000"/>
          <w:sz w:val="24"/>
          <w:szCs w:val="24"/>
          <w:lang w:eastAsia="it-IT"/>
        </w:rPr>
        <w:t xml:space="preserve">L’equivalenza del titolo di studio conseguito all’estero dovrà essere comprovata allegando, alla domanda di partecipazione alla selezione, dichiarazione, resa con le modalità di cui al D.P.R. 28/12/2000, n. 445, attestante il riconoscimento da parte dell’autorità competente dell’equivalenza al corrispondente titolo di studio italiano. </w:t>
      </w:r>
    </w:p>
    <w:p>
      <w:pPr>
        <w:pStyle w:val="Normal"/>
        <w:spacing w:lineRule="auto" w:line="240" w:before="0" w:after="0"/>
        <w:ind w:left="425" w:hanging="0"/>
        <w:jc w:val="both"/>
        <w:rPr>
          <w:rFonts w:ascii="Calibri" w:hAnsi="Calibri"/>
          <w:sz w:val="24"/>
          <w:szCs w:val="24"/>
        </w:rPr>
      </w:pPr>
      <w:r>
        <w:rPr>
          <w:rFonts w:eastAsia="Times New Roman" w:cs="Times New Roman"/>
          <w:color w:val="000000"/>
          <w:sz w:val="24"/>
          <w:szCs w:val="24"/>
          <w:lang w:eastAsia="it-IT"/>
        </w:rPr>
        <w:t xml:space="preserve">Il candidato, in luogo della predetta dichiarazione, potrà produrre la documentazione in originale o copia autenticata. L'autenticità dei documenti stessi può essere attestata apponendo in calce alla copia stessa che si tratta di copia conforme all’originale, ai sensi dell’art. 19 bis del D.P.R. 28/12/2000, n. 445 e s.m.i.. </w:t>
      </w:r>
    </w:p>
    <w:p>
      <w:pPr>
        <w:pStyle w:val="Normal"/>
        <w:spacing w:lineRule="auto" w:line="240" w:before="0" w:after="0"/>
        <w:ind w:left="425" w:hanging="0"/>
        <w:jc w:val="both"/>
        <w:rPr>
          <w:rFonts w:ascii="Calibri" w:hAnsi="Calibri"/>
          <w:sz w:val="24"/>
          <w:szCs w:val="24"/>
        </w:rPr>
      </w:pPr>
      <w:r>
        <w:rPr>
          <w:rFonts w:eastAsia="Times New Roman" w:cs="Times New Roman"/>
          <w:color w:val="000000"/>
          <w:sz w:val="24"/>
          <w:szCs w:val="24"/>
          <w:lang w:eastAsia="it-IT"/>
        </w:rPr>
        <w:t xml:space="preserve">I candidati che abbiano conseguito il titolo di studio all'estero possono partecipare alla selezione previo riconoscimento del titolo di studio attuato, ai sensi dell'art. 38, comma 3, del d.lgs. n. 165/2001 e s.m.i. L'Ente responsabile per la valutazione di equivalenza del titolo estero è la Presidenza del Consiglio dei Ministri - Dipartimento della Funzione Pubblica - Ufficio per l'organizzazione e il lavoro pubblico, Servizio per le assunzioni e la mobilità. </w:t>
      </w:r>
    </w:p>
    <w:p>
      <w:pPr>
        <w:pStyle w:val="Normal"/>
        <w:spacing w:lineRule="auto" w:line="240" w:before="0" w:after="0"/>
        <w:ind w:left="425" w:hanging="0"/>
        <w:jc w:val="both"/>
        <w:rPr>
          <w:rFonts w:ascii="Calibri" w:hAnsi="Calibri"/>
          <w:sz w:val="24"/>
          <w:szCs w:val="24"/>
        </w:rPr>
      </w:pPr>
      <w:r>
        <w:rPr>
          <w:rFonts w:eastAsia="Times New Roman" w:cs="Times New Roman"/>
          <w:color w:val="000000"/>
          <w:sz w:val="24"/>
          <w:szCs w:val="24"/>
          <w:lang w:eastAsia="it-IT"/>
        </w:rPr>
        <w:t xml:space="preserve">È possibile, inoltre, scaricare online dal sito del Dipartimento della Funzione Pubblica, il modulo per la richiesta di equivalenza del titolo di studio acquisito all'estero, all'interno del quale sono indicati tutti i documenti necessari per la presentazione della domanda di riconoscimento. Il candidato che non sia in possesso della dichiarazione di equivalenza è ammesso con riserva alla selezione, fermo restando che dovrà produrre il suddetto documento, pena l'esclusione, entro il termine che sarà comunicato dall'Amministrazione e comunque non oltre la conclusione della presente procedura concorsuale. </w:t>
      </w:r>
    </w:p>
    <w:p>
      <w:pPr>
        <w:pStyle w:val="Normal"/>
        <w:spacing w:lineRule="auto" w:line="240" w:before="0" w:after="0"/>
        <w:ind w:left="425" w:hanging="363"/>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 xml:space="preserve">Cittadinanza italiana ovvero di uno degli Stati membri dell’Unione Europea o di un Paese terzo alle condizioni previste dai commi 1 e 3-bis dell’art. 38 del D.Lgs. 165/2001. </w:t>
      </w:r>
    </w:p>
    <w:p>
      <w:pPr>
        <w:pStyle w:val="Normal"/>
        <w:spacing w:lineRule="auto" w:line="240" w:before="0" w:after="0"/>
        <w:ind w:left="425" w:hanging="0"/>
        <w:jc w:val="both"/>
        <w:rPr>
          <w:rFonts w:ascii="Calibri" w:hAnsi="Calibri"/>
          <w:sz w:val="24"/>
          <w:szCs w:val="24"/>
        </w:rPr>
      </w:pPr>
      <w:r>
        <w:rPr>
          <w:rFonts w:eastAsia="Times New Roman" w:cs="Times New Roman"/>
          <w:color w:val="000000"/>
          <w:sz w:val="24"/>
          <w:szCs w:val="24"/>
          <w:lang w:eastAsia="it-IT"/>
        </w:rPr>
        <w:t xml:space="preserve">I cittadini degli stati membri dell’Unione Europea e quelli di Paesi terzi titolari dei requisiti di cui ai commi citati, devono dichiarare lo Stato corrispondente alla propria cittadinanza, di possedere tutti gli altri requisiti previsti per i cittadini della Repubblica e di avere un’adeguata conoscenza della lingua italiana. </w:t>
      </w:r>
    </w:p>
    <w:p>
      <w:pPr>
        <w:pStyle w:val="Normal"/>
        <w:spacing w:lineRule="auto" w:line="240" w:before="0" w:after="0"/>
        <w:ind w:left="425" w:hanging="363"/>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Possesso di tutti i requisiti previsti dall’art. 5, comma 2, della Legge n. 65 del 07.03.1986 ai fini del conferimento da parte del Prefetto della qualifica di Agente di Pubblica Sicurezza;</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Idoneità fisica e psico-attitudinale allo svolgimento delle mansioni. In particolare, gli aspiranti dovranno possedere:</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ab/>
        <w:t xml:space="preserve">– I. visus naturale 18/10 complessivi, con non meno di 8/10 nell’occhio che vede meno; </w:t>
        <w:tab/>
        <w:t xml:space="preserve">correzione: il </w:t>
        <w:tab/>
        <w:t xml:space="preserve">visus di cui sopra è raggiungibile con qualsiasi correzione purché tollerata e </w:t>
        <w:tab/>
        <w:t xml:space="preserve">con una differenza tra le due lenti non superiore a tre diottrie; lenti a contatto: sono </w:t>
        <w:tab/>
        <w:t>ammesse purché il visus di 8/10 complessivo sia raggiungibile anche con normali occhiali;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ab/>
        <w:t xml:space="preserve">– II. astigmatismo regolare, semplice o composto, miotico e ipermetrope: 2 diottrie quale </w:t>
        <w:tab/>
        <w:t>somma dell’astigmatismo miotico ipermetrope in ciascun occhio;</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ab/>
        <w:t>– III. normalità del senso cromatico e luminoso;</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ab/>
        <w:t>– IV. normalità della funzione uditiva sulla base di un esame audiometrico tonale- liminare;</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 xml:space="preserve">Età </w:t>
      </w:r>
      <w:r>
        <w:rPr>
          <w:rFonts w:eastAsia="Times New Roman" w:cs="Times New Roman"/>
          <w:color w:val="000000"/>
          <w:kern w:val="0"/>
          <w:sz w:val="24"/>
          <w:szCs w:val="24"/>
          <w:lang w:val="it-IT" w:eastAsia="it-IT" w:bidi="ar-SA"/>
        </w:rPr>
        <w:t>non inferiore agli</w:t>
      </w:r>
      <w:r>
        <w:rPr>
          <w:rFonts w:eastAsia="Times New Roman" w:cs="Times New Roman"/>
          <w:color w:val="000000"/>
          <w:sz w:val="24"/>
          <w:szCs w:val="24"/>
          <w:lang w:eastAsia="it-IT"/>
        </w:rPr>
        <w:t xml:space="preserve"> anni 18 (il compimento di anni 18 deve avvenire entro la data di scadenza del presente bando) e non superiore a quella prevista dalle vigenti norme per il collocamento a riposo;</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Essere in possesso della patente di abilitazione alla guida di motoveicoli ed autoveicoli;</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 xml:space="preserve">Essere in posizione regolare nei confronti dell’obbligo di leva, per i cittadini italiani soggetti a tale obbligo; </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 xml:space="preserve">Godimento dei diritti civili e politici: i cittadini degli Stati membri dell’Unione Europea e quelli di Paesi terzi, di cui ai commi 1 e 3-bis dell’art. 38 del D.Lgs 165/2001, devono possedere il requisito del godimento dei diritti civili e politici anche negli stati di appartenenza o provenienza; </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Di non essere stato interdetto dai pubblici uffici né destituito ovvero dispensato dall’impiego presso una pubblica amministrazione per persistente insufficiente rendimento o licenziato per motivi disciplinari ai sensi della normativa o delle disposizioni contrattuali disciplinanti la materia, ovvero di non essere stato dichiarato decaduto da un impiego presso pubbliche amministrazioni a seguito dell’accertamento che l’impiego stesso è stato conseguito mediante la produzione di documenti falsi o viziati da invalidità non sanabile o, comunque, con mezzi fraudolenti;</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Non essere stati licenziati da precedenti rapporti di lavoro presso pubbliche amministrazioni per giusta causa o giustificato motivo soggettivo;</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 xml:space="preserve">Non aver subito condanne penali e non avere procedimenti penali in corso che impediscano, ai sensi delle vigenti disposizioni in materia, la costituzione del rapporto di impiego con la Pubblica Amministrazione. </w:t>
      </w:r>
    </w:p>
    <w:p>
      <w:pPr>
        <w:pStyle w:val="ListParagraph"/>
        <w:numPr>
          <w:ilvl w:val="0"/>
          <w:numId w:val="6"/>
        </w:numPr>
        <w:spacing w:lineRule="auto" w:line="240" w:before="0" w:after="0"/>
        <w:contextualSpacing/>
        <w:jc w:val="both"/>
        <w:rPr>
          <w:rFonts w:ascii="Calibri" w:hAnsi="Calibri"/>
          <w:sz w:val="24"/>
          <w:szCs w:val="24"/>
        </w:rPr>
      </w:pPr>
      <w:r>
        <w:rPr>
          <w:rFonts w:eastAsia="Times New Roman" w:cs="Times New Roman"/>
          <w:color w:val="000000"/>
          <w:sz w:val="24"/>
          <w:szCs w:val="24"/>
          <w:lang w:eastAsia="it-IT"/>
        </w:rPr>
        <w:t>Il possesso di eventuali titoli di preferenza di cui all’articolo 5 del d.P.R. 9 maggio 1994, n. 487 e successive modificazioni.</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Non sono ammessi alla selezione coloro che sono stati espulsi dalle Forze armate, dai Corpi militarmente organizzati, destituiti o licenziati dai pubblici uffici, che hanno riportato condanne a pene detentive per delitto non colposo o sono stati soggetti a misure di prevenzione. Non possono, altresì, partecipare alla selezione gli obiettori di coscienza che sono stati ammessi a prestare servizio civile a norma dell’art. 662 del Codice dell’ordinamento militare di cui al D.Lgs. 15 marzo 2010, n. 66, sempre che non sia stata presentata rinuncia allo status di obiettore ai sensi del medesimo articolo 662.</w:t>
      </w:r>
    </w:p>
    <w:p>
      <w:pPr>
        <w:pStyle w:val="Normal"/>
        <w:spacing w:lineRule="auto" w:line="240" w:before="0" w:after="0"/>
        <w:jc w:val="both"/>
        <w:rPr>
          <w:rFonts w:ascii="Calibri" w:hAnsi="Calibri"/>
          <w:color w:val="000000"/>
          <w:sz w:val="24"/>
          <w:szCs w:val="24"/>
        </w:rPr>
      </w:pPr>
      <w:r>
        <w:rPr>
          <w:color w:val="000000"/>
          <w:sz w:val="24"/>
          <w:szCs w:val="24"/>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Tali requisiti devono essere posseduti alla data di scadenza del termine stabilito nel presente bando per la presentazione delle domande di partecipazione alla selezione, pena l’esclusione della stessa, e mantenuti al momento della stipula del contratti individuale di lavoro.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Resta ferma la facoltà per l'ente di disporre, in qualsiasi momento, l'esclusione dalla selezione, per difetto dei prescritti requisiti ovvero per la mancata o incompleta presentazione della documentazione prevista.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Ferme restando le sanzioni penali previste dall'art. 76 del D.P.R. 445/2000, qualora dai controlli emerga la non veridicità della dichiarazione resa dal candidato, il medesimo decade dai benefici eventualmente conseguenti al provvedimento emanato sulla base della dichiarazione non veritiera (art. 75 D.P.R. 445/2000). </w:t>
      </w:r>
    </w:p>
    <w:p>
      <w:pPr>
        <w:pStyle w:val="Normal"/>
        <w:spacing w:lineRule="auto" w:line="240" w:before="0" w:after="0"/>
        <w:jc w:val="both"/>
        <w:rPr>
          <w:rFonts w:ascii="Calibri" w:hAnsi="Calibri"/>
          <w:color w:val="000000"/>
          <w:sz w:val="24"/>
          <w:szCs w:val="24"/>
        </w:rPr>
      </w:pPr>
      <w:r>
        <w:rPr>
          <w:color w:val="000000"/>
          <w:sz w:val="24"/>
          <w:szCs w:val="24"/>
        </w:rPr>
      </w:r>
    </w:p>
    <w:p>
      <w:pPr>
        <w:pStyle w:val="Normal"/>
        <w:spacing w:lineRule="auto" w:line="240" w:before="0" w:after="0"/>
        <w:jc w:val="both"/>
        <w:rPr>
          <w:rFonts w:ascii="Calibri" w:hAnsi="Calibri"/>
          <w:sz w:val="24"/>
          <w:szCs w:val="24"/>
        </w:rPr>
      </w:pPr>
      <w:r>
        <w:rPr>
          <w:rFonts w:eastAsia="Times New Roman" w:cs="Times New Roman"/>
          <w:b w:val="false"/>
          <w:bCs w:val="false"/>
          <w:color w:val="000000"/>
          <w:sz w:val="24"/>
          <w:szCs w:val="24"/>
          <w:lang w:eastAsia="it-IT"/>
        </w:rPr>
        <w:t>L’accertamento del possesso dei requisiti psico-fisici previsti nel bando di selezione viene effettuato sugli aspiranti che saranno utilmente collocati in graduatoria dal medico competente ai sensi di legge.</w:t>
      </w:r>
    </w:p>
    <w:p>
      <w:pPr>
        <w:pStyle w:val="Normal"/>
        <w:spacing w:lineRule="auto" w:line="240" w:before="0" w:after="0"/>
        <w:jc w:val="both"/>
        <w:rPr>
          <w:rFonts w:ascii="Calibri" w:hAnsi="Calibri"/>
          <w:sz w:val="24"/>
          <w:szCs w:val="24"/>
        </w:rPr>
      </w:pPr>
      <w:r>
        <w:rPr>
          <w:rFonts w:eastAsia="Times New Roman" w:cs="Times New Roman"/>
          <w:b w:val="false"/>
          <w:bCs w:val="false"/>
          <w:color w:val="000000"/>
          <w:sz w:val="24"/>
          <w:szCs w:val="24"/>
          <w:lang w:eastAsia="it-IT"/>
        </w:rPr>
        <w:t>Il mancato possesso dei requisiti sia psico-fisici che attitudinali comporta l’esclusione dalla selezione.</w:t>
      </w:r>
    </w:p>
    <w:p>
      <w:pPr>
        <w:pStyle w:val="Normal"/>
        <w:spacing w:lineRule="auto" w:line="240" w:before="0" w:after="0"/>
        <w:jc w:val="both"/>
        <w:rPr>
          <w:rFonts w:ascii="Calibri" w:hAnsi="Calibri" w:eastAsia="Times New Roman" w:cs="Times New Roman"/>
          <w:b w:val="false"/>
          <w:b w:val="false"/>
          <w:bCs w:val="false"/>
          <w:color w:val="000000"/>
          <w:sz w:val="24"/>
          <w:szCs w:val="24"/>
          <w:lang w:eastAsia="it-IT"/>
        </w:rPr>
      </w:pPr>
      <w:r>
        <w:rPr>
          <w:rFonts w:eastAsia="Times New Roman" w:cs="Times New Roman"/>
          <w:b w:val="false"/>
          <w:bCs w:val="false"/>
          <w:color w:val="000000"/>
          <w:sz w:val="24"/>
          <w:szCs w:val="24"/>
          <w:lang w:eastAsia="it-IT"/>
        </w:rPr>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pBdr>
          <w:bottom w:val="single" w:sz="6" w:space="4" w:color="4F81BD"/>
        </w:pBdr>
        <w:spacing w:lineRule="auto" w:line="240" w:before="0" w:after="0"/>
        <w:ind w:right="-1" w:hanging="0"/>
        <w:jc w:val="both"/>
        <w:rPr>
          <w:rFonts w:ascii="Calibri" w:hAnsi="Calibri"/>
          <w:sz w:val="24"/>
          <w:szCs w:val="24"/>
        </w:rPr>
      </w:pPr>
      <w:r>
        <w:rPr>
          <w:rFonts w:eastAsia="Times New Roman" w:cs="Times New Roman"/>
          <w:b/>
          <w:bCs/>
          <w:i/>
          <w:iCs/>
          <w:color w:val="000000"/>
          <w:sz w:val="24"/>
          <w:szCs w:val="24"/>
          <w:lang w:eastAsia="it-IT"/>
        </w:rPr>
        <w:t xml:space="preserve">ART. 4 – APPLICAZIONE PREFERENZE DI LEGGE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Ai fini della formulazione della graduatoria finale, eventuali condizioni, tali da poter dare diritto all’applicazione delle preferenze di legge in caso di parità di merito, devono essere espressamente dichiarate a tale fine nella domanda di partecipazione.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Tutti i titoli di preferenza dichiarati devono essere posseduti alla data di scadenza del termine utile per la presentazione delle domande di partecipazione alla selezione.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Default"/>
        <w:jc w:val="both"/>
        <w:rPr>
          <w:rFonts w:ascii="Calibri" w:hAnsi="Calibri"/>
          <w:sz w:val="24"/>
          <w:szCs w:val="24"/>
        </w:rPr>
      </w:pPr>
      <w:r>
        <w:rPr>
          <w:rFonts w:eastAsia="Times New Roman" w:ascii="Calibri" w:hAnsi="Calibri"/>
          <w:color w:val="000000"/>
          <w:sz w:val="24"/>
          <w:szCs w:val="24"/>
          <w:lang w:eastAsia="it-IT"/>
        </w:rPr>
        <w:t>Ai sensi dell’art. 1014, co.4 e dell’art. 678, comma 9 del d.lgs. 66/2010, la riserva per i volontari delle FF.AA. si applica a scorrimento della graduatoria, secondo le previsioni del d. lgs. 28 gennaio 2014, n. 8 (G.U. n.34 del 11.2.2014), che contiene la previsione della quota di riserva nei bandi di assunzione nella polizia municipale e provinciale pari al 20%.</w:t>
      </w:r>
    </w:p>
    <w:p>
      <w:pPr>
        <w:pStyle w:val="Normal"/>
        <w:pBdr>
          <w:bottom w:val="single" w:sz="6" w:space="4" w:color="4F81BD"/>
        </w:pBdr>
        <w:spacing w:lineRule="auto" w:line="240" w:before="0" w:after="0"/>
        <w:ind w:right="936" w:hanging="0"/>
        <w:jc w:val="both"/>
        <w:rPr>
          <w:rFonts w:ascii="Calibri" w:hAnsi="Calibri" w:eastAsia="Times New Roman" w:cs="Times New Roman"/>
          <w:b/>
          <w:b/>
          <w:bCs/>
          <w:i/>
          <w:i/>
          <w:iCs/>
          <w:color w:val="000000"/>
          <w:sz w:val="24"/>
          <w:szCs w:val="24"/>
          <w:lang w:eastAsia="it-IT"/>
        </w:rPr>
      </w:pPr>
      <w:r>
        <w:rPr>
          <w:rFonts w:eastAsia="Times New Roman" w:cs="Times New Roman"/>
          <w:b/>
          <w:bCs/>
          <w:i/>
          <w:iCs/>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5 - TERMINI E MODALITÀ DI PRESENTAZIONE DELLE DOMANDE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uppressAutoHyphens w:val="false"/>
        <w:spacing w:lineRule="auto" w:line="240" w:before="0" w:after="0"/>
        <w:jc w:val="both"/>
        <w:rPr/>
      </w:pPr>
      <w:r>
        <w:rPr>
          <w:rFonts w:eastAsia="Times New Roman" w:cs="Times New Roman"/>
          <w:b w:val="false"/>
          <w:bCs w:val="false"/>
          <w:i w:val="false"/>
          <w:iCs w:val="false"/>
          <w:color w:val="000000"/>
          <w:kern w:val="2"/>
          <w:sz w:val="24"/>
          <w:szCs w:val="24"/>
          <w:u w:val="none"/>
          <w:lang w:eastAsia="it-IT" w:bidi="hi-IN"/>
        </w:rPr>
        <w:t xml:space="preserve">Per l’ammissione al concorso i candidati devono presentare domanda esclusivamente per via telematica attraverso la “ piattaforma unica di Reclutamento - inPA” ( https://www.inpa.gov.it), entro il termine perentorio di 15 ( </w:t>
      </w:r>
      <w:r>
        <w:rPr>
          <w:rFonts w:eastAsia="Times New Roman" w:cs="Times New Roman"/>
          <w:b w:val="false"/>
          <w:bCs w:val="false"/>
          <w:i w:val="false"/>
          <w:iCs w:val="false"/>
          <w:color w:val="000000"/>
          <w:kern w:val="2"/>
          <w:sz w:val="24"/>
          <w:szCs w:val="24"/>
          <w:u w:val="none"/>
          <w:lang w:val="it-IT" w:eastAsia="it-IT" w:bidi="hi-IN"/>
        </w:rPr>
        <w:t>quindici</w:t>
      </w:r>
      <w:r>
        <w:rPr>
          <w:rFonts w:eastAsia="Times New Roman" w:cs="Times New Roman"/>
          <w:b w:val="false"/>
          <w:bCs w:val="false"/>
          <w:i w:val="false"/>
          <w:iCs w:val="false"/>
          <w:color w:val="000000"/>
          <w:kern w:val="2"/>
          <w:sz w:val="24"/>
          <w:szCs w:val="24"/>
          <w:u w:val="none"/>
          <w:lang w:eastAsia="it-IT" w:bidi="hi-IN"/>
        </w:rPr>
        <w:t xml:space="preserve">) giorni dalla data di pubblicazione del presente bando sul sistema “inPA” https:// </w:t>
      </w:r>
      <w:hyperlink r:id="rId2">
        <w:r>
          <w:rPr>
            <w:rStyle w:val="CollegamentoInternet"/>
            <w:rFonts w:eastAsia="Times New Roman" w:cs="Times New Roman"/>
            <w:b w:val="false"/>
            <w:bCs w:val="false"/>
            <w:i w:val="false"/>
            <w:iCs w:val="false"/>
            <w:color w:val="000000"/>
            <w:kern w:val="2"/>
            <w:sz w:val="24"/>
            <w:szCs w:val="24"/>
            <w:u w:val="none"/>
            <w:lang w:eastAsia="it-IT" w:bidi="hi-IN"/>
          </w:rPr>
          <w:t>www.inpa.gov.it/</w:t>
        </w:r>
      </w:hyperlink>
      <w:r>
        <w:rPr>
          <w:rFonts w:eastAsia="Times New Roman" w:cs="Times New Roman"/>
          <w:b w:val="false"/>
          <w:bCs w:val="false"/>
          <w:i w:val="false"/>
          <w:iCs w:val="false"/>
          <w:color w:val="000000"/>
          <w:kern w:val="2"/>
          <w:sz w:val="24"/>
          <w:szCs w:val="24"/>
          <w:u w:val="none"/>
          <w:lang w:eastAsia="it-IT" w:bidi="hi-IN"/>
        </w:rPr>
        <w:t xml:space="preserve">, all’albo pretorio, sull’home page del sito del comune </w:t>
      </w:r>
      <w:hyperlink r:id="rId3">
        <w:r>
          <w:rPr>
            <w:rStyle w:val="CollegamentoInternet"/>
            <w:rFonts w:eastAsia="Times New Roman" w:cs="Times New Roman"/>
            <w:b w:val="false"/>
            <w:bCs w:val="false"/>
            <w:i w:val="false"/>
            <w:iCs w:val="false"/>
            <w:color w:val="000000"/>
            <w:kern w:val="2"/>
            <w:sz w:val="24"/>
            <w:szCs w:val="24"/>
            <w:u w:val="none"/>
            <w:lang w:eastAsia="it-IT" w:bidi="hi-IN"/>
          </w:rPr>
          <w:t>https://comune.santantioco.su.it</w:t>
        </w:r>
      </w:hyperlink>
      <w:r>
        <w:rPr>
          <w:rStyle w:val="CollegamentoInternet"/>
          <w:rFonts w:eastAsia="Times New Roman" w:cs="Times New Roman"/>
          <w:b w:val="false"/>
          <w:bCs w:val="false"/>
          <w:i w:val="false"/>
          <w:iCs w:val="false"/>
          <w:color w:val="000000"/>
          <w:kern w:val="2"/>
          <w:sz w:val="24"/>
          <w:szCs w:val="24"/>
          <w:u w:val="none"/>
          <w:lang w:eastAsia="it-IT" w:bidi="hi-IN"/>
        </w:rPr>
        <w:t xml:space="preserve">  </w:t>
      </w:r>
      <w:r>
        <w:rPr>
          <w:rFonts w:eastAsia="Times New Roman" w:cs="Times New Roman"/>
          <w:b w:val="false"/>
          <w:bCs w:val="false"/>
          <w:i w:val="false"/>
          <w:iCs w:val="false"/>
          <w:color w:val="000000"/>
          <w:kern w:val="2"/>
          <w:sz w:val="24"/>
          <w:szCs w:val="24"/>
          <w:u w:val="none"/>
          <w:lang w:eastAsia="it-IT" w:bidi="hi-IN"/>
        </w:rPr>
        <w:t xml:space="preserve">oltre che nell’apposita sezione di amministrazione trasparente bandi di concorso </w:t>
      </w:r>
      <w:hyperlink r:id="rId4">
        <w:r>
          <w:rPr>
            <w:rStyle w:val="CollegamentoInternet"/>
            <w:rFonts w:eastAsia="Times New Roman" w:cs="Times New Roman"/>
            <w:b w:val="false"/>
            <w:bCs w:val="false"/>
            <w:i w:val="false"/>
            <w:iCs w:val="false"/>
            <w:color w:val="000000"/>
            <w:kern w:val="2"/>
            <w:sz w:val="24"/>
            <w:szCs w:val="24"/>
            <w:u w:val="none"/>
            <w:lang w:eastAsia="it-IT" w:bidi="hi-IN"/>
          </w:rPr>
          <w:t>https://trasparenza.comune.santantioco.su.it</w:t>
        </w:r>
      </w:hyperlink>
      <w:r>
        <w:rPr>
          <w:rStyle w:val="CollegamentoInternet"/>
          <w:rFonts w:eastAsia="Times New Roman" w:cs="Times New Roman"/>
          <w:b w:val="false"/>
          <w:bCs w:val="false"/>
          <w:i w:val="false"/>
          <w:iCs w:val="false"/>
          <w:color w:val="000000"/>
          <w:kern w:val="2"/>
          <w:sz w:val="24"/>
          <w:szCs w:val="24"/>
          <w:u w:val="none"/>
          <w:lang w:eastAsia="it-IT" w:bidi="hi-IN"/>
        </w:rPr>
        <w:t>.</w:t>
      </w:r>
    </w:p>
    <w:p>
      <w:pPr>
        <w:pStyle w:val="Normal"/>
        <w:suppressAutoHyphens w:val="false"/>
        <w:spacing w:lineRule="auto" w:line="240" w:before="0" w:after="0"/>
        <w:jc w:val="both"/>
        <w:rPr>
          <w:rFonts w:eastAsia="Times New Roman" w:cs="Tahoma-Bold"/>
          <w:b/>
          <w:b/>
          <w:bCs/>
          <w:i w:val="false"/>
          <w:i w:val="false"/>
          <w:iCs w:val="false"/>
          <w:color w:val="000000"/>
          <w:kern w:val="2"/>
          <w:u w:val="none"/>
          <w:lang w:eastAsia="it-IT" w:bidi="hi-IN"/>
        </w:rPr>
      </w:pPr>
      <w:r>
        <w:rPr>
          <w:rFonts w:eastAsia="Times New Roman" w:cs="Tahoma-Bold"/>
          <w:b/>
          <w:bCs/>
          <w:i w:val="false"/>
          <w:iCs w:val="false"/>
          <w:color w:val="000000"/>
          <w:kern w:val="2"/>
          <w:u w:val="none"/>
          <w:lang w:eastAsia="it-IT" w:bidi="hi-IN"/>
        </w:rPr>
      </w:r>
    </w:p>
    <w:p>
      <w:pPr>
        <w:pStyle w:val="Normal"/>
        <w:suppressAutoHyphens w:val="false"/>
        <w:spacing w:lineRule="auto" w:line="240" w:before="0" w:after="0"/>
        <w:jc w:val="both"/>
        <w:rPr>
          <w:rFonts w:ascii="Calibri" w:hAnsi="Calibri"/>
          <w:sz w:val="24"/>
          <w:szCs w:val="24"/>
        </w:rPr>
      </w:pPr>
      <w:r>
        <w:rPr>
          <w:rFonts w:eastAsia="Times New Roman" w:cs="Tahoma-Bold"/>
          <w:b/>
          <w:bCs/>
          <w:i w:val="false"/>
          <w:iCs w:val="false"/>
          <w:color w:val="000000"/>
          <w:kern w:val="2"/>
          <w:sz w:val="24"/>
          <w:szCs w:val="24"/>
          <w:u w:val="none"/>
          <w:lang w:eastAsia="it-IT" w:bidi="hi-IN"/>
        </w:rPr>
        <w:t>La scadenza è, pertanto, fissata al</w:t>
      </w:r>
      <w:r>
        <w:rPr>
          <w:rFonts w:eastAsia="Times New Roman" w:cs="Times New Roman"/>
          <w:b/>
          <w:bCs/>
          <w:i w:val="false"/>
          <w:iCs w:val="false"/>
          <w:color w:val="000000"/>
          <w:kern w:val="2"/>
          <w:sz w:val="24"/>
          <w:szCs w:val="24"/>
          <w:u w:val="none"/>
          <w:lang w:eastAsia="it-IT" w:bidi="hi-IN"/>
        </w:rPr>
        <w:t xml:space="preserve"> giorno </w:t>
      </w:r>
      <w:r>
        <w:rPr>
          <w:rFonts w:eastAsia="Times New Roman" w:cs="Times New Roman"/>
          <w:b/>
          <w:bCs/>
          <w:i w:val="false"/>
          <w:iCs w:val="false"/>
          <w:color w:val="000000"/>
          <w:kern w:val="2"/>
          <w:sz w:val="24"/>
          <w:szCs w:val="24"/>
          <w:u w:val="none"/>
          <w:lang w:val="it-IT" w:eastAsia="it-IT" w:bidi="hi-IN"/>
        </w:rPr>
        <w:t>XX/XX/</w:t>
      </w:r>
      <w:r>
        <w:rPr>
          <w:rFonts w:eastAsia="Times New Roman" w:cs="Times New Roman"/>
          <w:b/>
          <w:bCs/>
          <w:i w:val="false"/>
          <w:iCs w:val="false"/>
          <w:color w:val="000000"/>
          <w:kern w:val="2"/>
          <w:sz w:val="24"/>
          <w:szCs w:val="24"/>
          <w:u w:val="none"/>
          <w:lang w:eastAsia="it-IT" w:bidi="hi-IN"/>
        </w:rPr>
        <w:t>2023</w:t>
      </w:r>
      <w:r>
        <w:rPr>
          <w:rFonts w:eastAsia="Times New Roman" w:cs="Times New Roman"/>
          <w:b w:val="false"/>
          <w:bCs w:val="false"/>
          <w:i w:val="false"/>
          <w:iCs w:val="false"/>
          <w:color w:val="000000"/>
          <w:kern w:val="2"/>
          <w:sz w:val="24"/>
          <w:szCs w:val="24"/>
          <w:u w:val="none"/>
          <w:lang w:eastAsia="it-IT" w:bidi="hi-IN"/>
        </w:rPr>
        <w:t xml:space="preserve">. </w:t>
      </w:r>
    </w:p>
    <w:p>
      <w:pPr>
        <w:pStyle w:val="Normal"/>
        <w:suppressAutoHyphens w:val="false"/>
        <w:spacing w:lineRule="auto" w:line="240" w:before="0" w:after="0"/>
        <w:jc w:val="both"/>
        <w:rPr>
          <w:rFonts w:eastAsia="Times New Roman" w:cs="Times New Roman"/>
          <w:b w:val="false"/>
          <w:b w:val="false"/>
          <w:bCs w:val="false"/>
          <w:i w:val="false"/>
          <w:i w:val="false"/>
          <w:iCs w:val="false"/>
          <w:color w:val="000000"/>
          <w:kern w:val="2"/>
          <w:u w:val="none"/>
          <w:lang w:eastAsia="it-IT" w:bidi="hi-IN"/>
        </w:rPr>
      </w:pPr>
      <w:r>
        <w:rPr>
          <w:rFonts w:eastAsia="Times New Roman" w:cs="Times New Roman"/>
          <w:b w:val="false"/>
          <w:bCs w:val="false"/>
          <w:i w:val="false"/>
          <w:iCs w:val="false"/>
          <w:color w:val="000000"/>
          <w:kern w:val="2"/>
          <w:u w:val="none"/>
          <w:lang w:eastAsia="it-IT" w:bidi="hi-IN"/>
        </w:rPr>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Sono considerate irricevibili le domande presentate prima del termine di apertura del bando e oltre il termine di scadenza del medesimo. </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Il candidato, previa autenticazione attraverso i sistemi SPID, CIE,CNS e/o eIDAS, compilerà il modulo elettronico sul sistema “inPA”, raggiungibile dalla rete internet all’indirizzo </w:t>
      </w:r>
      <w:hyperlink r:id="rId5">
        <w:r>
          <w:rPr>
            <w:rStyle w:val="CollegamentoInternet"/>
            <w:rFonts w:eastAsia="Times New Roman" w:cs="Times New Roman"/>
            <w:b w:val="false"/>
            <w:bCs w:val="false"/>
            <w:i w:val="false"/>
            <w:iCs w:val="false"/>
            <w:color w:val="000000"/>
            <w:kern w:val="2"/>
            <w:sz w:val="24"/>
            <w:szCs w:val="24"/>
            <w:u w:val="none"/>
            <w:lang w:eastAsia="it-IT" w:bidi="hi-IN"/>
          </w:rPr>
          <w:t>https://www.inpa.gov.it/</w:t>
        </w:r>
      </w:hyperlink>
      <w:r>
        <w:rPr>
          <w:rFonts w:eastAsia="Times New Roman" w:cs="Times New Roman"/>
          <w:b w:val="false"/>
          <w:bCs w:val="false"/>
          <w:i w:val="false"/>
          <w:iCs w:val="false"/>
          <w:color w:val="000000"/>
          <w:kern w:val="2"/>
          <w:sz w:val="24"/>
          <w:szCs w:val="24"/>
          <w:u w:val="none"/>
          <w:lang w:eastAsia="it-IT" w:bidi="hi-IN"/>
        </w:rPr>
        <w:t xml:space="preserve">. </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Per la partecipazione al concorso il candidato deve essere in possesso di un indirizzo di posta elettronica certificata (PEC). </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Scaduto il termine per l’invio delle domande, il sistema non consentirà più l’accesso alla procedura e, pertanto , non saranno ammesse regolarizzazioni o integrazioni, sotto qualsiasi forma delle domande già inoltrate. </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Non sono ammesse altre forme di trasmissione delle domande di partecipazione al concorso. La presentazione di domande con altre modalità, tra cui a mano presso lo sportello Ufficio protocollo dell’Ente, con raccomandata AR, tramite PEC, determina l’automatica esclusione delle stesse. </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La formale compilazione del modulo di domanda on-line costituirà, per gli elementi ivi contenuti, dichiarazione sostitutiva dei certificazione e/o di atto notorio ai sensi del D.P.R 445/2000.</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Le dichiarazioni sostitutive, così come previsto dagli artt, 46 e 47 del D.P.R n. 445/2000, devono essere rese nella consapevolezza che saranno applicate sanzioni penali in caso di dichiarazione non veritiera ai sensi degli artt. 75 e 76 del medesimo decreto. </w:t>
      </w:r>
    </w:p>
    <w:p>
      <w:pPr>
        <w:pStyle w:val="Normal"/>
        <w:suppressAutoHyphens w:val="false"/>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L’amministrazione si riserva la facoltà di controllare la veridicità delle dichiarazioni sostitutive in ogni fase del procedimento di selezione e, qualora ne accerti la non veridicità, provvederà a disporre l’immediata adozione del relativo provvedimento di esclusione dalla selezione, ovvero di cancellazione dalla graduatoria, ovvero di decadenza dall’assunzione, che tuttavia non esime il candidato dalle eventuali azioni di responsabilità penale previste dalla vigente normativa, con specifico riferimento al D.P.R n. 445/2000. </w:t>
      </w:r>
    </w:p>
    <w:p>
      <w:pPr>
        <w:pStyle w:val="Normal"/>
        <w:suppressAutoHyphens w:val="false"/>
        <w:spacing w:lineRule="auto" w:line="240" w:before="0" w:after="0"/>
        <w:jc w:val="both"/>
        <w:rPr>
          <w:rFonts w:ascii="Calibri" w:hAnsi="Calibri"/>
          <w:sz w:val="24"/>
          <w:szCs w:val="24"/>
        </w:rPr>
      </w:pPr>
      <w:r>
        <w:rPr>
          <w:sz w:val="24"/>
          <w:szCs w:val="24"/>
        </w:rPr>
      </w:r>
    </w:p>
    <w:p>
      <w:pPr>
        <w:pStyle w:val="Normal"/>
        <w:spacing w:lineRule="auto" w:line="240" w:before="0" w:after="0"/>
        <w:jc w:val="both"/>
        <w:rPr/>
      </w:pPr>
      <w:r>
        <w:rPr>
          <w:rFonts w:eastAsia="Times New Roman" w:cs="Times New Roman"/>
          <w:b w:val="false"/>
          <w:bCs w:val="false"/>
          <w:i w:val="false"/>
          <w:iCs w:val="false"/>
          <w:color w:val="000000"/>
          <w:kern w:val="2"/>
          <w:sz w:val="24"/>
          <w:szCs w:val="24"/>
          <w:u w:val="none"/>
          <w:lang w:eastAsia="it-IT" w:bidi="hi-IN"/>
        </w:rPr>
        <w:t xml:space="preserve">Sarà data opportuna pubblicità circa i termini di decorrenza e di scadenza del presente </w:t>
      </w:r>
      <w:r>
        <w:rPr>
          <w:rFonts w:eastAsia="Times New Roman" w:cs="Times New Roman"/>
          <w:b w:val="false"/>
          <w:bCs w:val="false"/>
          <w:i w:val="false"/>
          <w:iCs w:val="false"/>
          <w:color w:val="000000"/>
          <w:kern w:val="2"/>
          <w:sz w:val="24"/>
          <w:szCs w:val="24"/>
          <w:u w:val="none"/>
          <w:lang w:val="it-IT" w:eastAsia="it-IT" w:bidi="hi-IN"/>
        </w:rPr>
        <w:t>Bando</w:t>
      </w:r>
      <w:r>
        <w:rPr>
          <w:rFonts w:eastAsia="Times New Roman" w:cs="Times New Roman"/>
          <w:b w:val="false"/>
          <w:bCs w:val="false"/>
          <w:i w:val="false"/>
          <w:iCs w:val="false"/>
          <w:color w:val="000000"/>
          <w:kern w:val="2"/>
          <w:sz w:val="24"/>
          <w:szCs w:val="24"/>
          <w:u w:val="none"/>
          <w:lang w:eastAsia="it-IT" w:bidi="hi-IN"/>
        </w:rPr>
        <w:t xml:space="preserve"> sia all’albo pretorio, sull’home page del sito del comune </w:t>
      </w:r>
      <w:hyperlink r:id="rId6">
        <w:r>
          <w:rPr>
            <w:rStyle w:val="CollegamentoInternet"/>
            <w:rFonts w:eastAsia="Times New Roman" w:cs="Times New Roman"/>
            <w:b w:val="false"/>
            <w:bCs w:val="false"/>
            <w:i w:val="false"/>
            <w:iCs w:val="false"/>
            <w:color w:val="000000"/>
            <w:kern w:val="2"/>
            <w:sz w:val="24"/>
            <w:szCs w:val="24"/>
            <w:u w:val="none"/>
            <w:lang w:eastAsia="it-IT" w:bidi="hi-IN"/>
          </w:rPr>
          <w:t>https://comune.santantioco.su.it</w:t>
        </w:r>
      </w:hyperlink>
      <w:r>
        <w:rPr>
          <w:rStyle w:val="CollegamentoInternet"/>
          <w:rFonts w:eastAsia="Times New Roman" w:cs="Times New Roman"/>
          <w:b w:val="false"/>
          <w:bCs w:val="false"/>
          <w:i w:val="false"/>
          <w:iCs w:val="false"/>
          <w:color w:val="000000"/>
          <w:kern w:val="2"/>
          <w:sz w:val="24"/>
          <w:szCs w:val="24"/>
          <w:u w:val="none"/>
          <w:lang w:eastAsia="it-IT" w:bidi="hi-IN"/>
        </w:rPr>
        <w:t xml:space="preserve">  </w:t>
      </w:r>
      <w:r>
        <w:rPr>
          <w:rFonts w:eastAsia="Times New Roman" w:cs="Times New Roman"/>
          <w:b w:val="false"/>
          <w:bCs w:val="false"/>
          <w:i w:val="false"/>
          <w:iCs w:val="false"/>
          <w:color w:val="000000"/>
          <w:kern w:val="2"/>
          <w:sz w:val="24"/>
          <w:szCs w:val="24"/>
          <w:u w:val="none"/>
          <w:lang w:eastAsia="it-IT" w:bidi="hi-IN"/>
        </w:rPr>
        <w:t xml:space="preserve">oltre che nell’apposita sezione di amministrazione trasparente bandi di concorso </w:t>
      </w:r>
      <w:hyperlink r:id="rId7">
        <w:r>
          <w:rPr>
            <w:rStyle w:val="CollegamentoInternet"/>
            <w:rFonts w:eastAsia="Times New Roman" w:cs="Times New Roman"/>
            <w:b w:val="false"/>
            <w:bCs w:val="false"/>
            <w:i w:val="false"/>
            <w:iCs w:val="false"/>
            <w:color w:val="000000"/>
            <w:kern w:val="2"/>
            <w:sz w:val="24"/>
            <w:szCs w:val="24"/>
            <w:u w:val="none"/>
            <w:lang w:eastAsia="it-IT" w:bidi="hi-IN"/>
          </w:rPr>
          <w:t>https://trasparenza.comune.santantioco.su.it</w:t>
        </w:r>
      </w:hyperlink>
      <w:r>
        <w:rPr>
          <w:rStyle w:val="CollegamentoInternet"/>
          <w:rFonts w:eastAsia="Times New Roman" w:cs="Times New Roman"/>
          <w:b w:val="false"/>
          <w:bCs w:val="false"/>
          <w:i w:val="false"/>
          <w:iCs w:val="false"/>
          <w:color w:val="000000"/>
          <w:kern w:val="2"/>
          <w:sz w:val="24"/>
          <w:szCs w:val="24"/>
          <w:u w:val="none"/>
          <w:lang w:eastAsia="it-IT" w:bidi="hi-IN"/>
        </w:rPr>
        <w:t>;</w:t>
      </w:r>
    </w:p>
    <w:p>
      <w:pPr>
        <w:pStyle w:val="Normal"/>
        <w:spacing w:lineRule="auto" w:line="240" w:before="0" w:after="0"/>
        <w:jc w:val="both"/>
        <w:rPr>
          <w:rFonts w:ascii="Calibri" w:hAnsi="Calibri"/>
          <w:b w:val="false"/>
          <w:b w:val="false"/>
          <w:bCs w:val="false"/>
          <w:i w:val="false"/>
          <w:i w:val="false"/>
          <w:iCs w:val="false"/>
          <w:color w:val="000000"/>
          <w:sz w:val="24"/>
          <w:szCs w:val="24"/>
          <w:u w:val="none"/>
        </w:rPr>
      </w:pPr>
      <w:r>
        <w:rPr>
          <w:b w:val="false"/>
          <w:bCs w:val="false"/>
          <w:i w:val="false"/>
          <w:iCs w:val="false"/>
          <w:color w:val="000000"/>
          <w:sz w:val="24"/>
          <w:szCs w:val="24"/>
          <w:u w:val="none"/>
        </w:rPr>
      </w:r>
    </w:p>
    <w:p>
      <w:pPr>
        <w:pStyle w:val="Normal"/>
        <w:spacing w:lineRule="auto" w:line="240" w:before="0" w:after="0"/>
        <w:jc w:val="both"/>
        <w:rPr/>
      </w:pPr>
      <w:r>
        <w:rPr>
          <w:rFonts w:eastAsia="Times New Roman" w:cs="Times New Roman"/>
          <w:b w:val="false"/>
          <w:bCs w:val="false"/>
          <w:i w:val="false"/>
          <w:iCs w:val="false"/>
          <w:color w:val="000000"/>
          <w:sz w:val="24"/>
          <w:szCs w:val="24"/>
          <w:u w:val="none"/>
          <w:lang w:eastAsia="it-IT"/>
        </w:rPr>
        <w:t xml:space="preserve">Sul sito internet del Comune di Sant’Antioco, all’indirizzo - </w:t>
      </w:r>
      <w:hyperlink r:id="rId8">
        <w:r>
          <w:rPr>
            <w:rStyle w:val="CollegamentoInternet"/>
            <w:rFonts w:eastAsia="Times New Roman" w:cs="Times New Roman"/>
            <w:b w:val="false"/>
            <w:bCs w:val="false"/>
            <w:i w:val="false"/>
            <w:iCs w:val="false"/>
            <w:color w:val="000000"/>
            <w:sz w:val="24"/>
            <w:szCs w:val="24"/>
            <w:u w:val="none"/>
            <w:lang w:eastAsia="it-IT"/>
          </w:rPr>
          <w:t>www.comune.santantioco.su.it</w:t>
        </w:r>
      </w:hyperlink>
      <w:r>
        <w:rPr>
          <w:rFonts w:eastAsia="Times New Roman" w:cs="Times New Roman"/>
          <w:b w:val="false"/>
          <w:bCs w:val="false"/>
          <w:i w:val="false"/>
          <w:iCs w:val="false"/>
          <w:color w:val="000000"/>
          <w:sz w:val="24"/>
          <w:szCs w:val="24"/>
          <w:u w:val="none"/>
          <w:lang w:eastAsia="it-IT"/>
        </w:rPr>
        <w:t xml:space="preserve"> e su – “Amministrazione Trasparente", sezione "Bandi di Concorso", sotto-sezione "Bandi di Concorso", saranno pubblicate tutte le informazioni inerenti il presente bando di concorso. </w:t>
      </w:r>
      <w:r>
        <w:rPr>
          <w:rFonts w:eastAsia="Times New Roman" w:cs="Times New Roman"/>
          <w:color w:val="000000"/>
          <w:sz w:val="24"/>
          <w:szCs w:val="24"/>
          <w:lang w:eastAsia="it-IT"/>
        </w:rPr>
        <w:t xml:space="preserve"> </w:t>
      </w:r>
    </w:p>
    <w:p>
      <w:pPr>
        <w:pStyle w:val="Normal"/>
        <w:pBdr>
          <w:bottom w:val="single" w:sz="6" w:space="4" w:color="4F81BD"/>
        </w:pBdr>
        <w:spacing w:lineRule="auto" w:line="240" w:before="0" w:after="0"/>
        <w:ind w:right="936" w:hanging="0"/>
        <w:jc w:val="both"/>
        <w:rPr>
          <w:rFonts w:ascii="Calibri" w:hAnsi="Calibri" w:eastAsia="Times New Roman" w:cs="Times New Roman"/>
          <w:b/>
          <w:b/>
          <w:bCs/>
          <w:i/>
          <w:i/>
          <w:iCs/>
          <w:color w:val="000000"/>
          <w:sz w:val="24"/>
          <w:szCs w:val="24"/>
          <w:lang w:eastAsia="it-IT"/>
        </w:rPr>
      </w:pPr>
      <w:r>
        <w:rPr>
          <w:rFonts w:eastAsia="Times New Roman" w:cs="Times New Roman"/>
          <w:b/>
          <w:bCs/>
          <w:i/>
          <w:iCs/>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6 - ALLEGATI ALLA DOMANDA </w:t>
      </w:r>
    </w:p>
    <w:p>
      <w:pPr>
        <w:pStyle w:val="Normal"/>
        <w:spacing w:lineRule="auto" w:line="240" w:before="0" w:after="0"/>
        <w:jc w:val="both"/>
        <w:rPr/>
      </w:pPr>
      <w:r>
        <w:rPr>
          <w:rFonts w:eastAsia="Times New Roman" w:cs="Times New Roman"/>
          <w:b w:val="false"/>
          <w:bCs w:val="false"/>
          <w:i w:val="false"/>
          <w:iCs w:val="false"/>
          <w:color w:val="000000"/>
          <w:kern w:val="2"/>
          <w:sz w:val="24"/>
          <w:szCs w:val="24"/>
          <w:u w:val="none"/>
          <w:lang w:eastAsia="it-IT" w:bidi="hi-IN"/>
        </w:rPr>
        <w:t>I candidati devono allegare alla domanda</w:t>
      </w:r>
      <w:r>
        <w:rPr>
          <w:rFonts w:eastAsia="Times New Roman" w:cs="Times New Roman"/>
          <w:b w:val="false"/>
          <w:bCs w:val="false"/>
          <w:i w:val="false"/>
          <w:iCs w:val="false"/>
          <w:color w:val="000000"/>
          <w:kern w:val="2"/>
          <w:sz w:val="24"/>
          <w:szCs w:val="24"/>
          <w:u w:val="none"/>
          <w:lang w:val="it-IT" w:eastAsia="it-IT" w:bidi="hi-IN"/>
        </w:rPr>
        <w:t xml:space="preserve"> la</w:t>
      </w:r>
      <w:r>
        <w:rPr>
          <w:rFonts w:eastAsia="Times New Roman" w:cs="Times New Roman"/>
          <w:b w:val="false"/>
          <w:bCs w:val="false"/>
          <w:i w:val="false"/>
          <w:iCs w:val="false"/>
          <w:color w:val="000000"/>
          <w:kern w:val="2"/>
          <w:sz w:val="24"/>
          <w:szCs w:val="24"/>
          <w:u w:val="none"/>
          <w:lang w:eastAsia="it-IT" w:bidi="hi-IN"/>
        </w:rPr>
        <w:t xml:space="preserve"> ricevuta, in copia/scansione della stessa, comprovante l'avvenuto versamento all'Amministrazione comunale di Sant’Antioco, della tassa di concorso di € 8,00.</w:t>
      </w:r>
    </w:p>
    <w:p>
      <w:pPr>
        <w:pStyle w:val="Normal"/>
        <w:spacing w:lineRule="auto" w:line="240" w:before="0" w:after="0"/>
        <w:jc w:val="both"/>
        <w:rPr/>
      </w:pPr>
      <w:r>
        <w:rPr>
          <w:rFonts w:eastAsia="Times New Roman" w:cs="Times New Roman"/>
          <w:b w:val="false"/>
          <w:bCs w:val="false"/>
          <w:i w:val="false"/>
          <w:iCs w:val="false"/>
          <w:color w:val="000000"/>
          <w:kern w:val="2"/>
          <w:sz w:val="24"/>
          <w:szCs w:val="24"/>
          <w:u w:val="none"/>
          <w:lang w:eastAsia="it-IT" w:bidi="hi-IN"/>
        </w:rPr>
        <w:t xml:space="preserve">Per il versamento, dovrà utilizzarsi il sistema del PAGOPA per l’emissione spontanea dell’avviso di pagamento dal SITO  </w:t>
      </w:r>
      <w:hyperlink r:id="rId9">
        <w:r>
          <w:rPr>
            <w:rStyle w:val="CollegamentoInternet"/>
            <w:rFonts w:eastAsia="Times New Roman" w:cs="Times New Roman"/>
            <w:b w:val="false"/>
            <w:bCs w:val="false"/>
            <w:i w:val="false"/>
            <w:iCs w:val="false"/>
            <w:color w:val="000000"/>
            <w:kern w:val="2"/>
            <w:sz w:val="24"/>
            <w:szCs w:val="24"/>
            <w:u w:val="none"/>
            <w:lang w:eastAsia="it-IT" w:bidi="hi-IN"/>
          </w:rPr>
          <w:t>https://pagopa.comune.santantioco.su.it/PagamentiOnLine/</w:t>
        </w:r>
      </w:hyperlink>
      <w:r>
        <w:rPr>
          <w:rStyle w:val="CollegamentoInternet"/>
          <w:rFonts w:eastAsia="Times New Roman" w:cs="Times New Roman"/>
          <w:b w:val="false"/>
          <w:bCs w:val="false"/>
          <w:i w:val="false"/>
          <w:iCs w:val="false"/>
          <w:color w:val="000000"/>
          <w:kern w:val="2"/>
          <w:sz w:val="24"/>
          <w:szCs w:val="24"/>
          <w:u w:val="none"/>
          <w:lang w:eastAsia="it-IT" w:bidi="hi-IN"/>
        </w:rPr>
        <w:t xml:space="preserve">  </w:t>
      </w:r>
      <w:r>
        <w:rPr>
          <w:rFonts w:eastAsia="Times New Roman" w:cs="Times New Roman"/>
          <w:b w:val="false"/>
          <w:bCs w:val="false"/>
          <w:i w:val="false"/>
          <w:iCs w:val="false"/>
          <w:color w:val="000000"/>
          <w:kern w:val="2"/>
          <w:sz w:val="24"/>
          <w:szCs w:val="24"/>
          <w:u w:val="none"/>
          <w:lang w:eastAsia="it-IT" w:bidi="hi-IN"/>
        </w:rPr>
        <w:t xml:space="preserve">poi proseguire nella sezione </w:t>
      </w:r>
      <w:r>
        <w:rPr>
          <w:rFonts w:eastAsia="Times New Roman" w:cs="Times New Roman"/>
          <w:b w:val="false"/>
          <w:bCs w:val="false"/>
          <w:i w:val="false"/>
          <w:iCs w:val="false"/>
          <w:color w:val="000000"/>
          <w:kern w:val="2"/>
          <w:sz w:val="24"/>
          <w:szCs w:val="24"/>
          <w:u w:val="none"/>
          <w:lang w:val="it-IT" w:eastAsia="it-IT" w:bidi="hi-IN"/>
        </w:rPr>
        <w:t>PAGAMENTI SPONTANEI</w:t>
      </w:r>
      <w:r>
        <w:rPr>
          <w:rFonts w:eastAsia="Times New Roman" w:cs="Times New Roman"/>
          <w:b w:val="false"/>
          <w:bCs w:val="false"/>
          <w:i w:val="false"/>
          <w:iCs w:val="false"/>
          <w:color w:val="000000"/>
          <w:kern w:val="2"/>
          <w:sz w:val="24"/>
          <w:szCs w:val="24"/>
          <w:u w:val="none"/>
          <w:lang w:eastAsia="it-IT" w:bidi="hi-IN"/>
        </w:rPr>
        <w:t xml:space="preserve"> – TASSA DI CONCORSO. </w:t>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Una volta caricati i propri dati anagrafici il sistema consentirà la stampa dell’avviso di pagamento PAGO PA.</w:t>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Detto avviso potrà essere pagato:</w:t>
      </w:r>
    </w:p>
    <w:p>
      <w:pPr>
        <w:pStyle w:val="Normal"/>
        <w:numPr>
          <w:ilvl w:val="0"/>
          <w:numId w:val="5"/>
        </w:numPr>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utilizzando l'home banking della propria banca (dove si trovano i loghi CBILL o pagoPA);</w:t>
      </w:r>
    </w:p>
    <w:p>
      <w:pPr>
        <w:pStyle w:val="Normal"/>
        <w:numPr>
          <w:ilvl w:val="0"/>
          <w:numId w:val="5"/>
        </w:numPr>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presso gli sportelli della propria banca (se abilitati); </w:t>
      </w:r>
    </w:p>
    <w:p>
      <w:pPr>
        <w:pStyle w:val="Normal"/>
        <w:numPr>
          <w:ilvl w:val="0"/>
          <w:numId w:val="5"/>
        </w:numPr>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 xml:space="preserve">Lottomatica </w:t>
      </w:r>
    </w:p>
    <w:p>
      <w:pPr>
        <w:pStyle w:val="Normal"/>
        <w:numPr>
          <w:ilvl w:val="0"/>
          <w:numId w:val="5"/>
        </w:numPr>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presso le Poste.</w:t>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Sarà altresì possibile optare per pagamento diretto dal canale attivato dall'Ente Creditore utilizzando carta di credito/debito sui principali circuiti (Visa, MasterCard, etc.),  PayPal.</w:t>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È indispensabile prendere visione delle “istruzioni pagamento pagopa” per eseguire correttamente il pagamento della quota di partecipazione al concorso. È richiesta l’indicazione nei dati aggiuntivi della seguente causale “</w:t>
      </w:r>
      <w:r>
        <w:rPr>
          <w:rFonts w:eastAsia="Times New Roman" w:cs="Times New Roman"/>
          <w:b w:val="false"/>
          <w:bCs w:val="false"/>
          <w:i w:val="false"/>
          <w:iCs w:val="false"/>
          <w:color w:val="000000"/>
          <w:kern w:val="2"/>
          <w:sz w:val="24"/>
          <w:szCs w:val="24"/>
          <w:u w:val="none"/>
          <w:lang w:val="it-IT" w:eastAsia="it-IT" w:bidi="hi-IN"/>
        </w:rPr>
        <w:t>Selezione pubblica per soli titoli per la formazione di una graduatoria per l’assunzione a tempo determinato pieno/part time di “agente della polizia locale” – area istruttori (ex cat. C);</w:t>
      </w:r>
    </w:p>
    <w:p>
      <w:pPr>
        <w:pStyle w:val="Normal"/>
        <w:spacing w:lineRule="auto" w:line="240" w:before="0" w:after="0"/>
        <w:jc w:val="both"/>
        <w:rPr>
          <w:rFonts w:ascii="Calibri" w:hAnsi="Calibri"/>
          <w:b w:val="false"/>
          <w:b w:val="false"/>
          <w:bCs w:val="false"/>
          <w:i w:val="false"/>
          <w:i w:val="false"/>
          <w:iCs w:val="false"/>
          <w:color w:val="000000"/>
          <w:sz w:val="24"/>
          <w:szCs w:val="24"/>
          <w:u w:val="none"/>
        </w:rPr>
      </w:pPr>
      <w:r>
        <w:rPr>
          <w:b w:val="false"/>
          <w:bCs w:val="false"/>
          <w:i w:val="false"/>
          <w:iCs w:val="false"/>
          <w:color w:val="000000"/>
          <w:sz w:val="24"/>
          <w:szCs w:val="24"/>
          <w:u w:val="none"/>
        </w:rPr>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Il mancato versamento della tassa di concorso, entro i termini di scadenza del Bando comporterà l’esclusione della procedura, come previsto nel vigente Regolamento concorsi dell’Ente (art. 21, co. 6, lett. B).</w:t>
      </w:r>
    </w:p>
    <w:p>
      <w:pPr>
        <w:pStyle w:val="Normal"/>
        <w:spacing w:lineRule="auto" w:line="240" w:before="0" w:after="0"/>
        <w:jc w:val="both"/>
        <w:rPr>
          <w:rFonts w:ascii="Calibri" w:hAnsi="Calibri"/>
          <w:b w:val="false"/>
          <w:b w:val="false"/>
          <w:bCs w:val="false"/>
          <w:i w:val="false"/>
          <w:i w:val="false"/>
          <w:iCs w:val="false"/>
          <w:color w:val="000000"/>
          <w:sz w:val="24"/>
          <w:szCs w:val="24"/>
          <w:u w:val="none"/>
        </w:rPr>
      </w:pPr>
      <w:r>
        <w:rPr>
          <w:b w:val="false"/>
          <w:bCs w:val="false"/>
          <w:i w:val="false"/>
          <w:iCs w:val="false"/>
          <w:color w:val="000000"/>
          <w:sz w:val="24"/>
          <w:szCs w:val="24"/>
          <w:u w:val="none"/>
        </w:rPr>
      </w:r>
    </w:p>
    <w:p>
      <w:pPr>
        <w:pStyle w:val="Normal"/>
        <w:spacing w:lineRule="auto" w:line="240" w:before="0" w:after="0"/>
        <w:jc w:val="both"/>
        <w:rPr>
          <w:rFonts w:ascii="Calibri" w:hAnsi="Calibri"/>
          <w:sz w:val="24"/>
          <w:szCs w:val="24"/>
        </w:rPr>
      </w:pPr>
      <w:r>
        <w:rPr>
          <w:rFonts w:eastAsia="Times New Roman" w:cs="Times New Roman"/>
          <w:b w:val="false"/>
          <w:bCs w:val="false"/>
          <w:i w:val="false"/>
          <w:iCs w:val="false"/>
          <w:color w:val="000000"/>
          <w:kern w:val="2"/>
          <w:sz w:val="24"/>
          <w:szCs w:val="24"/>
          <w:u w:val="none"/>
          <w:lang w:eastAsia="it-IT" w:bidi="hi-IN"/>
        </w:rPr>
        <w:t>Non è previsto il rimborso, in nessun caso e per nessuna ragione, della quota di partecipazione al concorso.</w:t>
      </w:r>
    </w:p>
    <w:p>
      <w:pPr>
        <w:pStyle w:val="Normal"/>
        <w:spacing w:lineRule="auto" w:line="240" w:before="0" w:after="0"/>
        <w:jc w:val="both"/>
        <w:rPr>
          <w:rFonts w:ascii="Calibri" w:hAnsi="Calibri"/>
          <w:b w:val="false"/>
          <w:b w:val="false"/>
          <w:bCs w:val="false"/>
          <w:i w:val="false"/>
          <w:i w:val="false"/>
          <w:iCs w:val="false"/>
          <w:color w:val="000000"/>
          <w:sz w:val="24"/>
          <w:szCs w:val="24"/>
          <w:u w:val="none"/>
        </w:rPr>
      </w:pPr>
      <w:r>
        <w:rPr>
          <w:b w:val="false"/>
          <w:bCs w:val="false"/>
          <w:i w:val="false"/>
          <w:iCs w:val="false"/>
          <w:color w:val="000000"/>
          <w:sz w:val="24"/>
          <w:szCs w:val="24"/>
          <w:u w:val="none"/>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7 - TRATTAMENTO DATI PERSONALI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A norma del D.Lgs. n.196/03 (codice in materia di protezione dei dati personali) e del Regolamento UE 2016/679, i dati personali forniti dai candidati nelle domande di partecipazione alla selezione saranno raccolti presso quest’Amministrazione e trattati, anche con strumenti informatici, nel rispetto delle disposizioni contenute nello stesso decreto, in funzione e per i fini del procedimento selettivo e di assunzione ovvero per altri fini occupazionali, attraverso la trasmissione, a richiesta, della graduatoria degli idonei ad altri Enti Pubblici, per l’utilizzo della medesima da parte degli stessi.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 suddetti dati personali potranno, inoltre, essere comunicati a ditta esterna di cui si avvalga l’Amministrazione per gli adempimenti relativi alle operazioni selettive.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 mancata indicazione dei dati obbligatori ai fini della valutazione dei requisiti di partecipazione, determinerà l’esclusione dalla selezione.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L’invio della domanda di partecipazione vale anche come autorizzazione al Comune di Sant’Antioco al trattamento dei propri dati personali, compresi quelli sensibili. </w:t>
      </w:r>
    </w:p>
    <w:p>
      <w:pPr>
        <w:pStyle w:val="Normal"/>
        <w:spacing w:lineRule="auto" w:line="240" w:before="0" w:after="0"/>
        <w:ind w:left="363" w:hanging="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8 - AMMISSIONE ED ESCLUSIONE </w:t>
      </w:r>
    </w:p>
    <w:p>
      <w:pPr>
        <w:pStyle w:val="Normal"/>
        <w:spacing w:lineRule="auto" w:line="240" w:before="0" w:after="0"/>
        <w:jc w:val="both"/>
        <w:rPr>
          <w:rFonts w:ascii="Calibri" w:hAnsi="Calibri" w:eastAsia="Times New Roman" w:cs="Courier New"/>
          <w:color w:val="000000"/>
          <w:sz w:val="24"/>
          <w:szCs w:val="24"/>
          <w:lang w:eastAsia="it-IT"/>
        </w:rPr>
      </w:pPr>
      <w:r>
        <w:rPr>
          <w:rFonts w:eastAsia="Times New Roman" w:cs="Courier New"/>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Courier New"/>
          <w:color w:val="000000"/>
          <w:sz w:val="24"/>
          <w:szCs w:val="24"/>
          <w:lang w:eastAsia="it-IT"/>
        </w:rPr>
        <w:t xml:space="preserve">I candidati sono ammessi alla selezione con riserva di accertamento del possesso dei requisiti di ammissione. In caso di carenza degli stessi, nonché per l'eventuale mancata osservanza dei termini perentori stabiliti nel presente bando, l'ufficio Gestione delle Risorse Umane dispone in qualsiasi momento, anche successivamente all'eventuale stipula del contratto individuale di lavoro, l'esclusione dalla procedura concorsuale. </w:t>
      </w:r>
    </w:p>
    <w:p>
      <w:pPr>
        <w:pStyle w:val="Normal"/>
        <w:spacing w:lineRule="auto" w:line="240" w:before="0" w:after="0"/>
        <w:ind w:left="363" w:hanging="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Courier New"/>
          <w:color w:val="000000"/>
          <w:sz w:val="24"/>
          <w:szCs w:val="24"/>
          <w:lang w:eastAsia="it-IT"/>
        </w:rPr>
        <w:t xml:space="preserve">Tutti coloro che avranno presentato domanda con le modalità indicate nel presente </w:t>
      </w:r>
      <w:r>
        <w:rPr>
          <w:rFonts w:eastAsia="Times New Roman" w:cs="Courier New"/>
          <w:color w:val="000000"/>
          <w:kern w:val="0"/>
          <w:sz w:val="24"/>
          <w:szCs w:val="24"/>
          <w:lang w:val="it-IT" w:eastAsia="it-IT" w:bidi="ar-SA"/>
        </w:rPr>
        <w:t>Bando</w:t>
      </w:r>
      <w:r>
        <w:rPr>
          <w:rFonts w:eastAsia="Times New Roman" w:cs="Courier New"/>
          <w:color w:val="000000"/>
          <w:sz w:val="24"/>
          <w:szCs w:val="24"/>
          <w:lang w:eastAsia="it-IT"/>
        </w:rPr>
        <w:t xml:space="preserve"> saranno implicitamente ammessi con riserva a partecipare alla selezione, sulla base delle dichiarazioni in essa contenute, in quanto rese ai sensi degli artt. 46 e 47 del DPR 445 del 28.12.2000 e s.m.i.. </w:t>
      </w:r>
    </w:p>
    <w:p>
      <w:pPr>
        <w:pStyle w:val="Normal"/>
        <w:spacing w:lineRule="auto" w:line="240" w:before="0" w:after="0"/>
        <w:jc w:val="both"/>
        <w:rPr>
          <w:rFonts w:ascii="Calibri" w:hAnsi="Calibri" w:eastAsia="Times New Roman" w:cs="Courier New"/>
          <w:color w:val="000000"/>
          <w:sz w:val="24"/>
          <w:szCs w:val="24"/>
          <w:lang w:eastAsia="it-IT"/>
        </w:rPr>
      </w:pPr>
      <w:r>
        <w:rPr>
          <w:rFonts w:eastAsia="Times New Roman" w:cs="Courier New"/>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eastAsia="Times New Roman" w:cs="Times New Roman"/>
          <w:b/>
          <w:b/>
          <w:bCs/>
          <w:i/>
          <w:i/>
          <w:iCs/>
          <w:color w:val="000000"/>
          <w:sz w:val="24"/>
          <w:szCs w:val="24"/>
          <w:lang w:eastAsia="it-IT"/>
        </w:rPr>
      </w:pPr>
      <w:r>
        <w:rPr>
          <w:rFonts w:eastAsia="Times New Roman" w:cs="Times New Roman"/>
          <w:b/>
          <w:bCs/>
          <w:i/>
          <w:iCs/>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9 - VALUTAZIONE DEI TITOLI E LORO CLASSIFICAZIONE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La selezione tra i candidati è per soli titoli e si realizza attraverso la valutazione di titoli suddivisi in quattro categorie ed i complessivi 10 punti ad essi riservati sono così ripartiti.</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candidato/a inserirà i titoli di cui è in possesso nella piattaforma per la presentazione della domanda, secondo le indicazioni per la compilazione della stessa. </w:t>
      </w:r>
    </w:p>
    <w:p>
      <w:pPr>
        <w:pStyle w:val="Normal"/>
        <w:spacing w:lineRule="auto" w:line="240" w:before="0" w:after="0"/>
        <w:jc w:val="both"/>
        <w:rPr>
          <w:rFonts w:ascii="Calibri" w:hAnsi="Calibri"/>
          <w:sz w:val="24"/>
          <w:szCs w:val="24"/>
        </w:rPr>
      </w:pPr>
      <w:r>
        <w:rPr>
          <w:sz w:val="24"/>
          <w:szCs w:val="24"/>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Titoli di studio Punti 3</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Titoli di servizio Punti 3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Curriculum professionale Punti 1</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Titoli vari Punti 3 </w:t>
      </w:r>
    </w:p>
    <w:p>
      <w:pPr>
        <w:pStyle w:val="Normal"/>
        <w:spacing w:lineRule="auto" w:line="240" w:before="0" w:after="0"/>
        <w:jc w:val="both"/>
        <w:rPr>
          <w:rFonts w:ascii="Calibri" w:hAnsi="Calibri"/>
          <w:sz w:val="24"/>
          <w:szCs w:val="24"/>
        </w:rPr>
      </w:pPr>
      <w:r>
        <w:rPr>
          <w:rFonts w:eastAsia="Times New Roman" w:cs="Times New Roman"/>
          <w:b/>
          <w:bCs/>
          <w:color w:val="000000"/>
          <w:sz w:val="24"/>
          <w:szCs w:val="24"/>
          <w:lang w:eastAsia="it-IT"/>
        </w:rPr>
        <w:t>___________________________</w:t>
      </w:r>
    </w:p>
    <w:p>
      <w:pPr>
        <w:pStyle w:val="Normal"/>
        <w:spacing w:lineRule="auto" w:line="240" w:before="0" w:after="0"/>
        <w:jc w:val="both"/>
        <w:rPr>
          <w:rFonts w:ascii="Calibri" w:hAnsi="Calibri"/>
          <w:sz w:val="24"/>
          <w:szCs w:val="24"/>
        </w:rPr>
      </w:pPr>
      <w:r>
        <w:rPr>
          <w:rFonts w:eastAsia="Times New Roman" w:cs="Times New Roman"/>
          <w:b/>
          <w:bCs/>
          <w:color w:val="000000"/>
          <w:sz w:val="24"/>
          <w:szCs w:val="24"/>
          <w:lang w:eastAsia="it-IT"/>
        </w:rPr>
        <w:t xml:space="preserve">Totale Punti 10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I titoli saranno valutati come segue:</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b/>
          <w:bCs/>
          <w:color w:val="000000"/>
          <w:sz w:val="24"/>
          <w:szCs w:val="24"/>
          <w:u w:val="single"/>
          <w:lang w:eastAsia="it-IT"/>
        </w:rPr>
        <w:t>TITOLI DI STUDIO:</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(MAX 3 PUNTI)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Il titolo di studio richiesto per l'ammissione alla selezione è valutato secondo la seguente tabella:</w:t>
      </w:r>
    </w:p>
    <w:p>
      <w:pPr>
        <w:pStyle w:val="Normal"/>
        <w:shd w:val="clear" w:color="auto" w:fill="FFFFFF"/>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tbl>
      <w:tblPr>
        <w:tblW w:w="6360" w:type="dxa"/>
        <w:jc w:val="center"/>
        <w:tblInd w:w="0" w:type="dxa"/>
        <w:tblCellMar>
          <w:top w:w="0" w:type="dxa"/>
          <w:left w:w="108" w:type="dxa"/>
          <w:bottom w:w="0" w:type="dxa"/>
          <w:right w:w="108" w:type="dxa"/>
        </w:tblCellMar>
        <w:tblLook w:val="04a0"/>
      </w:tblPr>
      <w:tblGrid>
        <w:gridCol w:w="1312"/>
        <w:gridCol w:w="1473"/>
        <w:gridCol w:w="1544"/>
        <w:gridCol w:w="1150"/>
        <w:gridCol w:w="881"/>
      </w:tblGrid>
      <w:tr>
        <w:trPr/>
        <w:tc>
          <w:tcPr>
            <w:tcW w:w="131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Voti espressi in decimi</w:t>
            </w:r>
          </w:p>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(da ... a ...)</w:t>
            </w:r>
          </w:p>
        </w:tc>
        <w:tc>
          <w:tcPr>
            <w:tcW w:w="147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Voti espressi con giudizio complessivo</w:t>
            </w:r>
          </w:p>
        </w:tc>
        <w:tc>
          <w:tcPr>
            <w:tcW w:w="154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Voti espressi in sessantesimi</w:t>
            </w:r>
          </w:p>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(da ... a ...)</w:t>
            </w:r>
          </w:p>
        </w:tc>
        <w:tc>
          <w:tcPr>
            <w:tcW w:w="1150"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Voti espressi in centesimi</w:t>
            </w:r>
          </w:p>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(da ... a ...)</w:t>
            </w:r>
          </w:p>
        </w:tc>
        <w:tc>
          <w:tcPr>
            <w:tcW w:w="88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Punti</w:t>
            </w:r>
          </w:p>
        </w:tc>
      </w:tr>
      <w:tr>
        <w:trPr/>
        <w:tc>
          <w:tcPr>
            <w:tcW w:w="131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6</w:t>
            </w:r>
          </w:p>
        </w:tc>
        <w:tc>
          <w:tcPr>
            <w:tcW w:w="1473"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sufficiente</w:t>
            </w:r>
          </w:p>
        </w:tc>
        <w:tc>
          <w:tcPr>
            <w:tcW w:w="1544"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36</w:t>
            </w:r>
          </w:p>
        </w:tc>
        <w:tc>
          <w:tcPr>
            <w:tcW w:w="1150"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60</w:t>
            </w:r>
          </w:p>
        </w:tc>
        <w:tc>
          <w:tcPr>
            <w:tcW w:w="881"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0,00</w:t>
            </w:r>
          </w:p>
        </w:tc>
      </w:tr>
      <w:tr>
        <w:trPr/>
        <w:tc>
          <w:tcPr>
            <w:tcW w:w="131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6,1 – 7</w:t>
            </w:r>
          </w:p>
        </w:tc>
        <w:tc>
          <w:tcPr>
            <w:tcW w:w="1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discreto</w:t>
            </w:r>
          </w:p>
        </w:tc>
        <w:tc>
          <w:tcPr>
            <w:tcW w:w="154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37 – 42</w:t>
            </w:r>
          </w:p>
        </w:tc>
        <w:tc>
          <w:tcPr>
            <w:tcW w:w="1150"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61 - 70</w:t>
            </w:r>
          </w:p>
        </w:tc>
        <w:tc>
          <w:tcPr>
            <w:tcW w:w="88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0,50</w:t>
            </w:r>
          </w:p>
        </w:tc>
      </w:tr>
      <w:tr>
        <w:trPr/>
        <w:tc>
          <w:tcPr>
            <w:tcW w:w="131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7,1 – 8</w:t>
            </w:r>
          </w:p>
        </w:tc>
        <w:tc>
          <w:tcPr>
            <w:tcW w:w="1473"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buono</w:t>
            </w:r>
          </w:p>
        </w:tc>
        <w:tc>
          <w:tcPr>
            <w:tcW w:w="1544"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43 – 48</w:t>
            </w:r>
          </w:p>
        </w:tc>
        <w:tc>
          <w:tcPr>
            <w:tcW w:w="1150"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71 - 80</w:t>
            </w:r>
          </w:p>
        </w:tc>
        <w:tc>
          <w:tcPr>
            <w:tcW w:w="881"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1,00</w:t>
            </w:r>
          </w:p>
        </w:tc>
      </w:tr>
      <w:tr>
        <w:trPr/>
        <w:tc>
          <w:tcPr>
            <w:tcW w:w="131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8,1 – 9</w:t>
            </w:r>
          </w:p>
        </w:tc>
        <w:tc>
          <w:tcPr>
            <w:tcW w:w="147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distinto</w:t>
            </w:r>
          </w:p>
        </w:tc>
        <w:tc>
          <w:tcPr>
            <w:tcW w:w="154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49 – 54</w:t>
            </w:r>
          </w:p>
        </w:tc>
        <w:tc>
          <w:tcPr>
            <w:tcW w:w="1150"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81 - 90</w:t>
            </w:r>
          </w:p>
        </w:tc>
        <w:tc>
          <w:tcPr>
            <w:tcW w:w="881"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1,50</w:t>
            </w:r>
          </w:p>
        </w:tc>
      </w:tr>
      <w:tr>
        <w:trPr/>
        <w:tc>
          <w:tcPr>
            <w:tcW w:w="1312"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9,1 – 10</w:t>
            </w:r>
          </w:p>
        </w:tc>
        <w:tc>
          <w:tcPr>
            <w:tcW w:w="1473"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ottimo</w:t>
            </w:r>
          </w:p>
        </w:tc>
        <w:tc>
          <w:tcPr>
            <w:tcW w:w="1544"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55 – 60</w:t>
            </w:r>
          </w:p>
        </w:tc>
        <w:tc>
          <w:tcPr>
            <w:tcW w:w="1150"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91 - 100</w:t>
            </w:r>
          </w:p>
        </w:tc>
        <w:tc>
          <w:tcPr>
            <w:tcW w:w="881" w:type="dxa"/>
            <w:tcBorders>
              <w:top w:val="single" w:sz="6" w:space="0" w:color="000000"/>
              <w:left w:val="single" w:sz="6" w:space="0" w:color="000000"/>
              <w:bottom w:val="single" w:sz="6" w:space="0" w:color="000000"/>
              <w:right w:val="single" w:sz="6" w:space="0" w:color="000000"/>
            </w:tcBorders>
            <w:shd w:color="auto" w:fill="D3DFEE" w:val="clea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2</w:t>
            </w:r>
          </w:p>
        </w:tc>
      </w:tr>
    </w:tbl>
    <w:p>
      <w:pPr>
        <w:pStyle w:val="Normal"/>
        <w:shd w:val="clear" w:color="auto" w:fill="FFFFFF"/>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2. I titoli di studio ulteriori a quello richiesto per l'ammissione afferisce a titoli di studio di ordine pari o superiore a quello richiesto per l'ammissione alla selezione pubblica sono valutati se strettamente attinenti alla professionalità richiesta. Per ogni titolo può essere attribuito un punteggio pari a 0,5. I titoli di studio non strettamente attinenti alla professionalità richiesta devono essere valutati nella categoria del curriculum professionale.</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b/>
          <w:bCs/>
          <w:color w:val="000000"/>
          <w:sz w:val="24"/>
          <w:szCs w:val="24"/>
          <w:u w:val="single"/>
          <w:lang w:eastAsia="it-IT"/>
        </w:rPr>
        <w:t>TITOLI DI SERVIZIO</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(MAX 3 PUNTI)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E’ valutato il servizio a tempo indeterminato o determinato prestato alle dipendenze delle amministrazioni pubbliche di cui all'art. 1, D.Lgs. 30 marzo 2001, n. 165. Nella presente categoria sono valutabili i servizi prestati negli ultimi 10 anni da computarsi dalla data di scadenza del bando di selezione.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punteggio complessivo per la valutazione dei titoli di servizio, distinto per categoria e posizione giuridica, è attribuito dalla commissione secondo i seguenti criteri: </w:t>
      </w:r>
    </w:p>
    <w:p>
      <w:pPr>
        <w:pStyle w:val="Normal"/>
        <w:numPr>
          <w:ilvl w:val="0"/>
          <w:numId w:val="4"/>
        </w:numPr>
        <w:spacing w:lineRule="auto" w:line="240" w:before="0" w:after="0"/>
        <w:jc w:val="both"/>
        <w:rPr>
          <w:rFonts w:ascii="Calibri" w:hAnsi="Calibri"/>
          <w:sz w:val="24"/>
          <w:szCs w:val="24"/>
        </w:rPr>
      </w:pPr>
      <w:r>
        <w:rPr>
          <w:rFonts w:eastAsia="Times New Roman" w:cs="Times New Roman"/>
          <w:color w:val="000000"/>
          <w:sz w:val="24"/>
          <w:szCs w:val="24"/>
          <w:lang w:eastAsia="it-IT"/>
        </w:rPr>
        <w:t>il servizio prestato in attività attinenti, in categoria o posizione giuridica pari o superiore rispetto al posto messo a selezione, è valutato per ogni mese o frazione superiore a 15 giorni = punti 0,025;</w:t>
      </w:r>
    </w:p>
    <w:p>
      <w:pPr>
        <w:pStyle w:val="Normal"/>
        <w:numPr>
          <w:ilvl w:val="0"/>
          <w:numId w:val="4"/>
        </w:numPr>
        <w:spacing w:lineRule="auto" w:line="240" w:before="0" w:after="0"/>
        <w:jc w:val="both"/>
        <w:rPr>
          <w:rFonts w:ascii="Calibri" w:hAnsi="Calibri"/>
          <w:sz w:val="24"/>
          <w:szCs w:val="24"/>
        </w:rPr>
      </w:pPr>
      <w:r>
        <w:rPr>
          <w:rFonts w:eastAsia="Times New Roman" w:cs="Times New Roman"/>
          <w:color w:val="000000"/>
          <w:sz w:val="24"/>
          <w:szCs w:val="24"/>
          <w:lang w:eastAsia="it-IT"/>
        </w:rPr>
        <w:t>il servizio prestato in attività attinenti, in categoria o posizione giuridica immediatamente inferiore rispetto al posto messo a selezione, ovvero in attività non attinenti in categoria o posizione giuridica pari o superiore rispetto a quelle del posto messo a selezione, è valutato per ogni mese o frazione superiore a 15 giorni = punti 0,017;</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Non è attribuito alcun punteggio al servizio nel caso in cui le dichiarazioni o certificazioni siano incomplete o comunque prive degli elementi necessari ai fini della valutazione.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 periodi di effettivo servizio militare di leva, di richiamo alle armi, di ferma volontaria e di rafferma, prestati presso le Forze Armate e nell'Arma dei Carabinieri, sono valutati come previsto dal D.Lgs. 15 marzo 2010, n. 66 Codice dell’ordinamento militare. Il servizio militare di leva, di richiamo alle armi, di ferma volontaria e di rafferma, prestato nelle forze armate e nell'arma dei carabinieri, ovvero il servizio civile è valutato in relazione alla categoria del posto messo a selezione, equiparando alla categoria B1 il servizio militare prestato in qualità di soldato semplice, alla posizione giuridica B3 il servizio prestato in qualità di graduato, alla categoria C il servizio prestato in qualità di sottufficiale, alla categoria D1 il servizio prestato in qualità di ufficiale inferiore (fino al grado di tenente). Il servizio civile non viene valutato.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Sono valutati solamente gli effettivi servizi prestati risultanti da dichiarazioni sostitutive rese ai sensi della normativa vigente o da certificati di servizio rilasciati dal datore di lavoro.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Tutti i servizi prestati, della stessa categoria, sono sommati anche se prestati presso enti diversi.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I periodi di servizio pari o superiori a 16 giorni sono computati come mese intero.</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In caso di contemporaneità di servizi, viene computato quello cui compete il punteggio unitario più elevato.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 servizi prestati a tempo parziale sono computati in misura proporzionale al tempo pieno praticato nell’ente di appartenenza.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E’ valutabile il servizio prestato, in posizione di ruolo o non di ruolo, alle dipendenze della pubblica amministrazione.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Qualora non sia precisata la data di inizio e/o di cessazione dal servizio, lo stesso non viene valutato.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Non sono oggetto di valutazione i periodi di frequenza presso gli uffici pubblici o i servizi prestati a solo titolo di tirocinio e pratica o comunque non in dipendenza di rapporto d'impiego.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Non sono valutabili i precedenti rapporti di impiego, anche a tempo determinato o parziale, che si siano conclusi per demerito del concorrente.</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servizio è valutato fino alla data autocertificata dal candidato, comunque non posteriore alla pubblicazione del bando di selezione.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Gli arrotondamenti di punteggio al millesimo sono effettuati per eccesso.</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b/>
          <w:bCs/>
          <w:color w:val="000000"/>
          <w:sz w:val="24"/>
          <w:szCs w:val="24"/>
          <w:u w:val="single"/>
          <w:lang w:eastAsia="it-IT"/>
        </w:rPr>
        <w:t>CURRICULUM PROFESSIONALE:</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(MAX 1 PUNTO)</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L'attribuzione del punteggio riservato al curriculum professionale è effettuata dalla Commissione, con criteri predeterminati nella prima seduta, dando considerazione unitaria al complesso della formazione e delle attività, culturali e professionali, illustrate dal concorrente e ritenute significative, per analogia o connessione, ai fini di un ulteriore apprezzamento dell'idoneità e dell'attitudine del candidato all'esercizio delle funzioni attribuite al posto messo a selezione.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I criteri stabiliti, a seguito di quanto previsto nel comma 1 dell’art. 43 del Regolamento per la disciplina dei concorsi, devono tendere all’equiparazione e all’univocità per tutti i concorrenti.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La Commissione deve tenere particolarmente conto:</w:t>
      </w:r>
    </w:p>
    <w:p>
      <w:pPr>
        <w:pStyle w:val="Normal"/>
        <w:shd w:val="clear" w:color="auto" w:fill="FFFFFF"/>
        <w:spacing w:lineRule="auto" w:line="240" w:before="0" w:after="0"/>
        <w:ind w:left="709" w:hanging="0"/>
        <w:jc w:val="both"/>
        <w:rPr>
          <w:rFonts w:ascii="Calibri" w:hAnsi="Calibri"/>
          <w:sz w:val="24"/>
          <w:szCs w:val="24"/>
        </w:rPr>
      </w:pPr>
      <w:r>
        <w:rPr>
          <w:rFonts w:eastAsia="Times New Roman" w:cs="Times New Roman"/>
          <w:color w:val="000000"/>
          <w:sz w:val="24"/>
          <w:szCs w:val="24"/>
          <w:lang w:eastAsia="it-IT"/>
        </w:rPr>
        <w:t>a) del giudizio complessivo discendente dai criteri di cui al suddetto art. 43, comma 1;</w:t>
      </w:r>
    </w:p>
    <w:p>
      <w:pPr>
        <w:pStyle w:val="Normal"/>
        <w:shd w:val="clear" w:color="auto" w:fill="FFFFFF"/>
        <w:spacing w:lineRule="auto" w:line="240" w:before="0" w:after="0"/>
        <w:ind w:left="709" w:hanging="0"/>
        <w:jc w:val="both"/>
        <w:rPr>
          <w:rFonts w:ascii="Calibri" w:hAnsi="Calibri"/>
          <w:sz w:val="24"/>
          <w:szCs w:val="24"/>
        </w:rPr>
      </w:pPr>
      <w:r>
        <w:rPr>
          <w:rFonts w:eastAsia="Times New Roman" w:cs="Times New Roman"/>
          <w:color w:val="000000"/>
          <w:sz w:val="24"/>
          <w:szCs w:val="24"/>
          <w:lang w:eastAsia="it-IT"/>
        </w:rPr>
        <w:t>b) delle attività e di ogni altro elemento di valutazione del concorrente che non abbia dato luogo all'attribuzione di punteggio negli altri gruppi di titoli.</w:t>
      </w:r>
    </w:p>
    <w:p>
      <w:pPr>
        <w:pStyle w:val="Normal"/>
        <w:shd w:val="clear" w:color="auto" w:fill="FFFFFF"/>
        <w:spacing w:lineRule="auto" w:line="240" w:before="0" w:after="0"/>
        <w:jc w:val="both"/>
        <w:rPr>
          <w:rFonts w:ascii="Calibri" w:hAnsi="Calibri"/>
          <w:sz w:val="24"/>
          <w:szCs w:val="24"/>
        </w:rPr>
      </w:pPr>
      <w:r>
        <w:rPr>
          <w:rFonts w:eastAsia="Times New Roman" w:cs="Times New Roman"/>
          <w:color w:val="000000"/>
          <w:sz w:val="24"/>
          <w:szCs w:val="24"/>
          <w:lang w:eastAsia="it-IT"/>
        </w:rPr>
        <w:t>La Commissione potrà stabilire di valutare le attività professionali e lavorative e di studio formalmente documentate, non riferibili ai titoli già valutati nelle precedenti categorie, idonee a evidenziare ulteriormente il livello di qualificazione professionale acquisito nell'arco dell'intera carriera e specifiche rispetto alla posizione funzionale da conferire. Nessun punteggio è attribuito dalla Commissione al curriculum di contenuto irrilevante ai fini delle valutazioni di cui ai precedenti punti.</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b/>
          <w:bCs/>
          <w:color w:val="000000"/>
          <w:sz w:val="24"/>
          <w:szCs w:val="24"/>
          <w:u w:val="single"/>
          <w:lang w:eastAsia="it-IT"/>
        </w:rPr>
        <w:t>TITOLI VARI: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(MAX 3 PUNTI)</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Sono valutati, fino alla concorrenza di tre punti: </w:t>
      </w:r>
    </w:p>
    <w:p>
      <w:pPr>
        <w:pStyle w:val="Normal"/>
        <w:spacing w:lineRule="auto" w:line="240" w:before="0" w:after="0"/>
        <w:jc w:val="both"/>
        <w:rPr>
          <w:rFonts w:eastAsia="Times New Roman" w:cs="Times New Roman"/>
          <w:color w:val="000000"/>
          <w:lang w:eastAsia="it-IT"/>
        </w:rPr>
      </w:pPr>
      <w:r>
        <w:rPr>
          <w:rFonts w:eastAsia="Times New Roman" w:cs="Times New Roman"/>
          <w:color w:val="000000"/>
          <w:lang w:eastAsia="it-IT"/>
        </w:rPr>
      </w:r>
    </w:p>
    <w:tbl>
      <w:tblPr>
        <w:tblW w:w="9771" w:type="dxa"/>
        <w:jc w:val="left"/>
        <w:tblInd w:w="12" w:type="dxa"/>
        <w:tblCellMar>
          <w:top w:w="0" w:type="dxa"/>
          <w:left w:w="108" w:type="dxa"/>
          <w:bottom w:w="0" w:type="dxa"/>
          <w:right w:w="108" w:type="dxa"/>
        </w:tblCellMar>
        <w:tblLook w:val="04a0"/>
      </w:tblPr>
      <w:tblGrid>
        <w:gridCol w:w="4874"/>
        <w:gridCol w:w="4896"/>
      </w:tblGrid>
      <w:tr>
        <w:trPr/>
        <w:tc>
          <w:tcPr>
            <w:tcW w:w="4874" w:type="dxa"/>
            <w:tcBorders>
              <w:top w:val="single" w:sz="6" w:space="0" w:color="000000"/>
              <w:left w:val="single" w:sz="6" w:space="0" w:color="000000"/>
              <w:bottom w:val="single" w:sz="6" w:space="0" w:color="000000"/>
              <w:right w:val="single" w:sz="6" w:space="0" w:color="000000"/>
            </w:tcBorders>
            <w:shd w:color="auto" w:fill="B2B2B2" w:val="clear"/>
            <w:vAlign w:val="cente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Titoli</w:t>
            </w:r>
          </w:p>
        </w:tc>
        <w:tc>
          <w:tcPr>
            <w:tcW w:w="4896" w:type="dxa"/>
            <w:tcBorders>
              <w:top w:val="single" w:sz="6" w:space="0" w:color="000000"/>
              <w:left w:val="single" w:sz="6" w:space="0" w:color="000000"/>
              <w:bottom w:val="single" w:sz="6" w:space="0" w:color="000000"/>
              <w:right w:val="single" w:sz="6" w:space="0" w:color="000000"/>
            </w:tcBorders>
            <w:shd w:color="auto" w:fill="B2B2B2" w:val="clear"/>
            <w:vAlign w:val="center"/>
          </w:tcPr>
          <w:p>
            <w:pPr>
              <w:pStyle w:val="Normal"/>
              <w:spacing w:lineRule="auto" w:line="240" w:before="0" w:after="0"/>
              <w:jc w:val="both"/>
              <w:rPr>
                <w:rFonts w:ascii="Calibri" w:hAnsi="Calibri"/>
                <w:sz w:val="20"/>
                <w:szCs w:val="20"/>
              </w:rPr>
            </w:pPr>
            <w:r>
              <w:rPr>
                <w:rFonts w:eastAsia="Times New Roman" w:cs="Times New Roman"/>
                <w:b/>
                <w:bCs/>
                <w:color w:val="000000"/>
                <w:sz w:val="20"/>
                <w:szCs w:val="20"/>
                <w:lang w:eastAsia="it-IT"/>
              </w:rPr>
              <w:t>Punteggio</w:t>
            </w:r>
          </w:p>
        </w:tc>
      </w:tr>
      <w:tr>
        <w:trPr>
          <w:trHeight w:val="249" w:hRule="atLeast"/>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Dottorati di ricerca, specializzazioni post laurea, master in materie afferenti la professionalità oggetto di selezione</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0,50 Punto per titolo posseduto</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Corsi di formazione, riqualificazione, aggiornamento, specializzazione, svolti in materie attinenti la professionalità del posto messo a selezione, con superamento della prova finale</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0,15 punti per corso</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Abilitazioni professionali in materie attinenti la professionalità del posto messo a selezione</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0,15 Punti</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Pubblicazioni (libri, saggi ed articoli)*</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0,25 Punti per pubblicazione effettuata</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Incarichi di collaborazione o di prestazione professionale conferiti da enti pubblici**</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0,10 Punti per ogni incarico</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Lavoro autonomo</w:t>
            </w:r>
            <w:r>
              <w:rPr>
                <w:rFonts w:eastAsia="Times New Roman" w:cs="Times New Roman"/>
                <w:color w:val="000000"/>
                <w:sz w:val="20"/>
                <w:szCs w:val="20"/>
                <w:u w:val="none"/>
                <w:lang w:eastAsia="it-IT"/>
              </w:rPr>
              <w:t xml:space="preserve"> in attività attinenti alla professionalità messa a selezione, ris</w:t>
            </w:r>
            <w:r>
              <w:rPr>
                <w:rFonts w:eastAsia="Times New Roman" w:cs="Times New Roman"/>
                <w:color w:val="000000"/>
                <w:sz w:val="20"/>
                <w:szCs w:val="20"/>
                <w:lang w:eastAsia="it-IT"/>
              </w:rPr>
              <w:t>ultante da iscrizione alla C.C.I.A.A. e/o ad Albi professionali</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0,10 Punti per ogni anno di attività professionale svolto</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Idoneità conseguite in concorsi pubblici***</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0,03 Punti per ogni idoneità</w:t>
            </w:r>
          </w:p>
        </w:tc>
      </w:tr>
      <w:tr>
        <w:trPr/>
        <w:tc>
          <w:tcPr>
            <w:tcW w:w="48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Corsi (anche giornalieri) di formazione, riqualificazione, aggiornamento, specializzazion</w:t>
            </w:r>
            <w:r>
              <w:rPr>
                <w:rFonts w:eastAsia="Times New Roman" w:cs="Times New Roman"/>
                <w:color w:val="000000"/>
                <w:sz w:val="20"/>
                <w:szCs w:val="20"/>
                <w:u w:val="none"/>
                <w:lang w:eastAsia="it-IT"/>
              </w:rPr>
              <w:t>e, svolti in materie attinenti la professionalità del posto messo a selezione, senza prova finale</w:t>
            </w:r>
          </w:p>
        </w:tc>
        <w:tc>
          <w:tcPr>
            <w:tcW w:w="489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jc w:val="both"/>
              <w:rPr>
                <w:rFonts w:ascii="Calibri" w:hAnsi="Calibri"/>
                <w:sz w:val="20"/>
                <w:szCs w:val="20"/>
              </w:rPr>
            </w:pPr>
            <w:r>
              <w:rPr>
                <w:rFonts w:eastAsia="Times New Roman" w:cs="Times New Roman"/>
                <w:color w:val="000000"/>
                <w:sz w:val="20"/>
                <w:szCs w:val="20"/>
                <w:lang w:eastAsia="it-IT"/>
              </w:rPr>
              <w:t>0,01 Punti per Corso</w:t>
            </w:r>
          </w:p>
        </w:tc>
      </w:tr>
    </w:tbl>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sz w:val="24"/>
          <w:szCs w:val="24"/>
          <w:lang w:eastAsia="it-IT"/>
        </w:rPr>
        <w:t xml:space="preserve">* Le pubblicazioni sono valutate </w:t>
      </w:r>
      <w:r>
        <w:rPr>
          <w:rFonts w:eastAsia="Times New Roman" w:cs="Times New Roman"/>
          <w:color w:val="000000"/>
          <w:sz w:val="24"/>
          <w:szCs w:val="24"/>
          <w:u w:val="none"/>
          <w:lang w:eastAsia="it-IT"/>
        </w:rPr>
        <w:t xml:space="preserve">solo se attinenti alla figura professionale di cui al presente </w:t>
      </w:r>
      <w:r>
        <w:rPr>
          <w:rFonts w:eastAsia="Times New Roman" w:cs="Times New Roman"/>
          <w:color w:val="000000"/>
          <w:kern w:val="0"/>
          <w:sz w:val="24"/>
          <w:szCs w:val="24"/>
          <w:u w:val="none"/>
          <w:lang w:val="it-IT" w:eastAsia="it-IT" w:bidi="ar-SA"/>
        </w:rPr>
        <w:t>Bando</w:t>
      </w:r>
      <w:r>
        <w:rPr>
          <w:rFonts w:eastAsia="Times New Roman" w:cs="Times New Roman"/>
          <w:color w:val="000000"/>
          <w:sz w:val="24"/>
          <w:szCs w:val="24"/>
          <w:u w:val="none"/>
          <w:lang w:eastAsia="it-IT"/>
        </w:rPr>
        <w:t xml:space="preserve">  o comunque denotino un arricchimento della professionalità del concorrente in riferimento alle funzioni connesse al posto messo a selezione.</w:t>
      </w:r>
      <w:r>
        <w:rPr>
          <w:rFonts w:eastAsia="Times New Roman" w:cs="Times New Roman"/>
          <w:color w:val="000000"/>
          <w:sz w:val="24"/>
          <w:szCs w:val="24"/>
          <w:lang w:eastAsia="it-IT"/>
        </w:rPr>
        <w:t xml:space="preserve"> Non sono presi in considerazione gli scritti non dati alle stampe e quelli dai quali non risulti in modo sicuro che siano stati elaborati dai candidati nonché le pubblicazioni compilate in collaborazione quando non sia possibile stabilire in modo certo l’apporto di ciascun autore.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 Tali incarichi sono valutati solo se hanno per oggetto l'espletamento </w:t>
      </w:r>
      <w:r>
        <w:rPr>
          <w:rFonts w:eastAsia="Times New Roman" w:cs="Times New Roman"/>
          <w:color w:val="000000"/>
          <w:sz w:val="24"/>
          <w:szCs w:val="24"/>
          <w:u w:val="none"/>
          <w:lang w:eastAsia="it-IT"/>
        </w:rPr>
        <w:t>di attività attinenti alla professionalità messa a selezione.</w:t>
      </w:r>
    </w:p>
    <w:p>
      <w:pPr>
        <w:pStyle w:val="Normal"/>
        <w:spacing w:lineRule="auto" w:line="240" w:before="0" w:after="0"/>
        <w:jc w:val="both"/>
        <w:rPr>
          <w:rFonts w:ascii="Calibri" w:hAnsi="Calibri"/>
          <w:sz w:val="24"/>
          <w:szCs w:val="24"/>
        </w:rPr>
      </w:pPr>
      <w:r>
        <w:rPr>
          <w:rFonts w:eastAsia="Times New Roman" w:cs="Times New Roman"/>
          <w:color w:val="000000"/>
          <w:sz w:val="24"/>
          <w:szCs w:val="24"/>
          <w:u w:val="none"/>
          <w:lang w:eastAsia="it-IT"/>
        </w:rPr>
        <w:t xml:space="preserve">*** Vengono valutate le idoneità per profili professionali della stessa area di attività </w:t>
      </w:r>
      <w:r>
        <w:rPr>
          <w:rFonts w:eastAsia="Times New Roman" w:cs="Times New Roman"/>
          <w:color w:val="000000"/>
          <w:sz w:val="24"/>
          <w:szCs w:val="24"/>
          <w:lang w:eastAsia="it-IT"/>
        </w:rPr>
        <w:t>solo di qualifica pari o superiore, ad esclusione di quelle per soli titoli. Ove dalla certificazione non risulti chiaramente che la selezione si è svolto anche per esami, l'idoneità viene ritenuta conseguita per soli titoli e, quindi, non valutata. Le idoneità conseguite in prove pubbliche selettive per assunzioni temporanee non sono oggetto di valutazione.</w:t>
      </w:r>
    </w:p>
    <w:p>
      <w:pPr>
        <w:pStyle w:val="Normal"/>
        <w:pBdr>
          <w:bottom w:val="single" w:sz="6" w:space="4" w:color="4F81BD"/>
        </w:pBdr>
        <w:spacing w:lineRule="auto" w:line="240" w:before="0" w:after="0"/>
        <w:ind w:right="936" w:hanging="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eastAsia="Times New Roman" w:cs="Times New Roman"/>
          <w:b/>
          <w:b/>
          <w:bCs/>
          <w:i/>
          <w:i/>
          <w:iCs/>
          <w:color w:val="000000"/>
          <w:sz w:val="24"/>
          <w:szCs w:val="24"/>
          <w:lang w:eastAsia="it-IT"/>
        </w:rPr>
      </w:pPr>
      <w:r>
        <w:rPr>
          <w:rFonts w:eastAsia="Times New Roman" w:cs="Times New Roman"/>
          <w:b/>
          <w:bCs/>
          <w:i/>
          <w:iCs/>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10- GRADUATORIA, VALIDITÀ E ASSUNZIONE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A conclusione dei propri lavori, la Commissione </w:t>
      </w:r>
      <w:r>
        <w:rPr>
          <w:rFonts w:eastAsia="Times New Roman" w:cs="Times New Roman"/>
          <w:color w:val="000000"/>
          <w:kern w:val="0"/>
          <w:sz w:val="24"/>
          <w:szCs w:val="24"/>
          <w:lang w:val="it-IT" w:eastAsia="it-IT" w:bidi="ar-SA"/>
        </w:rPr>
        <w:t>Esaminatrice</w:t>
      </w:r>
      <w:r>
        <w:rPr>
          <w:rFonts w:eastAsia="Times New Roman" w:cs="Times New Roman"/>
          <w:color w:val="000000"/>
          <w:sz w:val="24"/>
          <w:szCs w:val="24"/>
          <w:lang w:eastAsia="it-IT"/>
        </w:rPr>
        <w:t xml:space="preserve"> formulerà apposita graduatoria finale provvisoria dei concorrenti ed applicherà le relative preferenze, qualora presenti, inviando tutto il materiale relativo alla selezione in oggetto al Responsabile del Servizio Gestione delle Risorse Umane, unitamente agli atti ed ai verbali della selezione.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Responsabile del Servizio Gestione delle Risorse Umane provvederà al riscontro dell’applicazione delle preferenze di legge e formulerà la graduatoria definitiva.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In caso di parità di punteggio, la posizione in graduatoria sarà determinata sulla base dei titoli di preferenza, previsti dalla vigente legislazione, purché singolarmente dichiarati nella domanda di partecipazione alla selezione e adeguatamente documentati.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Default"/>
        <w:jc w:val="both"/>
        <w:rPr>
          <w:rFonts w:ascii="Calibri" w:hAnsi="Calibri"/>
          <w:sz w:val="24"/>
          <w:szCs w:val="24"/>
        </w:rPr>
      </w:pPr>
      <w:r>
        <w:rPr>
          <w:rFonts w:eastAsia="Times New Roman" w:ascii="Calibri" w:hAnsi="Calibri"/>
          <w:color w:val="000000"/>
          <w:sz w:val="24"/>
          <w:szCs w:val="24"/>
          <w:lang w:eastAsia="it-IT"/>
        </w:rPr>
        <w:t>Ai sensi dell’art. 1014, co.4 e dell’art. 678, comma 9 del d.lgs. 66/2010, la riserva per i volontari delle FF.AA. si applica a scorrimento della graduatoria, secondo le previsioni del d. lgs. 28 gennaio 2014, n. 8 (G.U. n.34 del 11.2.2014), che contiene la previsione della quota di riserva nei bandi di assunzione nella polizia municipale e provinciale pari al 20%.</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La graduatoria definitiva sarà formulata sulla base della somma dei punteggi di valutazione dei titoli.</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sz w:val="24"/>
          <w:szCs w:val="24"/>
          <w:lang w:eastAsia="it-IT"/>
        </w:rPr>
        <w:t xml:space="preserve">La graduatoria definitiva, approvata con determinazione del Responsabile del Servizio Personale, sarà pubblicata sito internet </w:t>
      </w:r>
      <w:hyperlink r:id="rId10">
        <w:r>
          <w:rPr>
            <w:rStyle w:val="CollegamentoInternet"/>
            <w:rFonts w:eastAsia="Times New Roman" w:cs="Times New Roman"/>
            <w:color w:val="000000"/>
            <w:sz w:val="24"/>
            <w:szCs w:val="24"/>
            <w:lang w:eastAsia="it-IT"/>
          </w:rPr>
          <w:t>www.comune.santantioco.su.it</w:t>
        </w:r>
      </w:hyperlink>
      <w:r>
        <w:rPr>
          <w:rFonts w:eastAsia="Times New Roman" w:cs="Times New Roman"/>
          <w:color w:val="000000"/>
          <w:sz w:val="24"/>
          <w:szCs w:val="24"/>
          <w:lang w:eastAsia="it-IT"/>
        </w:rPr>
        <w:t xml:space="preserve">, e su – “Amministrazione Trasparente", sezione "Bandi di </w:t>
      </w:r>
      <w:r>
        <w:rPr>
          <w:rFonts w:eastAsia="Times New Roman" w:cs="Times New Roman"/>
          <w:color w:val="000000"/>
          <w:kern w:val="0"/>
          <w:sz w:val="24"/>
          <w:szCs w:val="24"/>
          <w:lang w:val="it-IT" w:eastAsia="it-IT" w:bidi="ar-SA"/>
        </w:rPr>
        <w:t>Concorso</w:t>
      </w:r>
      <w:r>
        <w:rPr>
          <w:rFonts w:eastAsia="Times New Roman" w:cs="Times New Roman"/>
          <w:color w:val="000000"/>
          <w:sz w:val="24"/>
          <w:szCs w:val="24"/>
          <w:lang w:eastAsia="it-IT"/>
        </w:rPr>
        <w:t xml:space="preserve">", sotto-sezione "Bandi di </w:t>
      </w:r>
      <w:r>
        <w:rPr>
          <w:rFonts w:eastAsia="Times New Roman" w:cs="Times New Roman"/>
          <w:color w:val="000000"/>
          <w:kern w:val="0"/>
          <w:sz w:val="24"/>
          <w:szCs w:val="24"/>
          <w:lang w:val="it-IT" w:eastAsia="it-IT" w:bidi="ar-SA"/>
        </w:rPr>
        <w:t>Concorso</w:t>
      </w:r>
      <w:r>
        <w:rPr>
          <w:rFonts w:eastAsia="Times New Roman" w:cs="Times New Roman"/>
          <w:color w:val="000000"/>
          <w:sz w:val="24"/>
          <w:szCs w:val="24"/>
          <w:lang w:eastAsia="it-IT"/>
        </w:rPr>
        <w:t xml:space="preserve">”. </w:t>
      </w:r>
    </w:p>
    <w:p>
      <w:pPr>
        <w:pStyle w:val="NormalWeb"/>
        <w:spacing w:before="280" w:after="0"/>
        <w:jc w:val="both"/>
        <w:rPr/>
      </w:pPr>
      <w:r>
        <w:rPr>
          <w:rFonts w:ascii="Calibri" w:hAnsi="Calibri"/>
          <w:color w:val="000000"/>
          <w:sz w:val="24"/>
          <w:szCs w:val="24"/>
        </w:rPr>
        <w:t xml:space="preserve">La graduatoria definitiva rimarrà efficace per un termine di tre anni dalla sua pubblicazione. L'Amministrazione Comunale potrà utilizzare la graduatoria per assunzioni a tempo determinato, </w:t>
      </w:r>
      <w:r>
        <w:rPr>
          <w:rFonts w:eastAsia="Times New Roman" w:cs="Times New Roman" w:ascii="Calibri" w:hAnsi="Calibri"/>
          <w:color w:val="000000"/>
          <w:kern w:val="0"/>
          <w:sz w:val="24"/>
          <w:szCs w:val="24"/>
          <w:lang w:val="it-IT" w:eastAsia="it-IT" w:bidi="ar-SA"/>
        </w:rPr>
        <w:t>pieno</w:t>
      </w:r>
      <w:r>
        <w:rPr>
          <w:rFonts w:ascii="Calibri" w:hAnsi="Calibri"/>
          <w:color w:val="000000"/>
          <w:sz w:val="24"/>
          <w:szCs w:val="24"/>
        </w:rPr>
        <w:t xml:space="preserve"> o part-time che si rendessero necessarie nel periodo di validità della stessa, conformemente alle disposizioni di legge e contrattuali vigenti al momento del suo utilizzo.</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sz w:val="24"/>
          <w:szCs w:val="24"/>
          <w:lang w:eastAsia="it-IT"/>
        </w:rPr>
        <w:t xml:space="preserve">Dall’ultimo giorno di pubblicazione decorrerà il termine per l’eventuale impugnazione della graduatoria stessa. Si ribadisce che tutti i requisiti devono essere posseduti alla data di scadenza del termine stabilito nel presente </w:t>
      </w:r>
      <w:r>
        <w:rPr>
          <w:rFonts w:eastAsia="Times New Roman" w:cs="Times New Roman"/>
          <w:color w:val="000000"/>
          <w:kern w:val="0"/>
          <w:sz w:val="24"/>
          <w:szCs w:val="24"/>
          <w:lang w:val="it-IT" w:eastAsia="it-IT" w:bidi="ar-SA"/>
        </w:rPr>
        <w:t>Bando</w:t>
      </w:r>
      <w:r>
        <w:rPr>
          <w:rFonts w:eastAsia="Times New Roman" w:cs="Times New Roman"/>
          <w:color w:val="000000"/>
          <w:sz w:val="24"/>
          <w:szCs w:val="24"/>
          <w:lang w:eastAsia="it-IT"/>
        </w:rPr>
        <w:t xml:space="preserve"> per la presentazione delle domande di partecipazione alla selezione, pena l’esclusione dalla stessa e mantenuti al momento della stipula dei contratti individuali di lavoro.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11 - PROCEDURE PER L’ASSUNZIONE IN SERVIZIO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concorrente che siano in posizione utile per l’assunzione ed in regola con la documentazione prescritta sarà assunto in prova, per un periodo di 2 (due) settimane per i rapporti di durata fino a sei mesi e 4 (quattro) settimane per quelli di durata </w:t>
      </w:r>
      <w:r>
        <w:rPr>
          <w:rFonts w:eastAsia="Times New Roman" w:cs="Times New Roman"/>
          <w:color w:val="000000"/>
          <w:kern w:val="0"/>
          <w:sz w:val="24"/>
          <w:szCs w:val="24"/>
          <w:lang w:val="it-IT" w:eastAsia="it-IT" w:bidi="ar-SA"/>
        </w:rPr>
        <w:t>superiore</w:t>
      </w:r>
      <w:r>
        <w:rPr>
          <w:rFonts w:eastAsia="Times New Roman" w:cs="Times New Roman"/>
          <w:color w:val="000000"/>
          <w:sz w:val="24"/>
          <w:szCs w:val="24"/>
          <w:lang w:eastAsia="it-IT"/>
        </w:rPr>
        <w:t xml:space="preserve"> con rapporto di lavoro a tempo determinato (pieno/part-time), previa sottoscrizione del contratto individuale di lavoro, ai sensi degli artt. 60 e 61 del CCNL del 16.11.2022, relativo al personale del comparto Funzioni Locali, nel rispetto delle prescrizioni o limitazioni di leggi presenti e future in materia di assunzioni.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concorrente/i dichiarati vincitori della selezione pubblica in oggetto, entro il termine stabilito nell’apposita comunicazione, dovrà far pervenire apposita comunicazione nella quale dichiari sotto la propria responsabilità: </w:t>
      </w:r>
    </w:p>
    <w:p>
      <w:pPr>
        <w:pStyle w:val="ListParagraph"/>
        <w:numPr>
          <w:ilvl w:val="0"/>
          <w:numId w:val="5"/>
        </w:numPr>
        <w:spacing w:lineRule="auto" w:line="240" w:before="0" w:after="0"/>
        <w:ind w:left="426" w:hanging="360"/>
        <w:contextualSpacing/>
        <w:jc w:val="both"/>
        <w:rPr>
          <w:rFonts w:ascii="Calibri" w:hAnsi="Calibri"/>
          <w:sz w:val="24"/>
          <w:szCs w:val="24"/>
        </w:rPr>
      </w:pPr>
      <w:r>
        <w:rPr>
          <w:rFonts w:eastAsia="Times New Roman" w:cs="Times New Roman"/>
          <w:color w:val="000000"/>
          <w:sz w:val="24"/>
          <w:szCs w:val="24"/>
          <w:lang w:eastAsia="it-IT"/>
        </w:rPr>
        <w:t xml:space="preserve">di non avere altri rapporti di impiego pubblico o privato; in caso contrario dovrà presentare la dichiarazione di opzione per il nuovo posto; </w:t>
      </w:r>
    </w:p>
    <w:p>
      <w:pPr>
        <w:pStyle w:val="ListParagraph"/>
        <w:numPr>
          <w:ilvl w:val="0"/>
          <w:numId w:val="5"/>
        </w:numPr>
        <w:spacing w:lineRule="auto" w:line="240" w:before="0" w:after="0"/>
        <w:ind w:left="426" w:hanging="360"/>
        <w:contextualSpacing/>
        <w:jc w:val="both"/>
        <w:rPr>
          <w:rFonts w:ascii="Calibri" w:hAnsi="Calibri"/>
          <w:sz w:val="24"/>
          <w:szCs w:val="24"/>
        </w:rPr>
      </w:pPr>
      <w:r>
        <w:rPr>
          <w:rFonts w:eastAsia="Times New Roman" w:cs="Times New Roman"/>
          <w:color w:val="000000"/>
          <w:sz w:val="24"/>
          <w:szCs w:val="24"/>
          <w:lang w:eastAsia="it-IT"/>
        </w:rPr>
        <w:t xml:space="preserve">di non essere stato destituito o dispensato dall’impiego presso una Pubblica Amministrazione per persistente insufficiente rendimento e di non essere stato dichiarato decaduto per aver prodotto documenti falsi o viziati da invalidità non sanabile; </w:t>
      </w:r>
    </w:p>
    <w:p>
      <w:pPr>
        <w:pStyle w:val="ListParagraph"/>
        <w:numPr>
          <w:ilvl w:val="0"/>
          <w:numId w:val="5"/>
        </w:numPr>
        <w:spacing w:lineRule="auto" w:line="240" w:before="0" w:after="0"/>
        <w:ind w:left="426" w:hanging="360"/>
        <w:contextualSpacing/>
        <w:jc w:val="both"/>
        <w:rPr>
          <w:rFonts w:ascii="Calibri" w:hAnsi="Calibri"/>
          <w:sz w:val="24"/>
          <w:szCs w:val="24"/>
        </w:rPr>
      </w:pPr>
      <w:r>
        <w:rPr>
          <w:rFonts w:eastAsia="Times New Roman" w:cs="Times New Roman"/>
          <w:color w:val="000000"/>
          <w:sz w:val="24"/>
          <w:szCs w:val="24"/>
          <w:lang w:eastAsia="it-IT"/>
        </w:rPr>
        <w:t xml:space="preserve">di non essere stato licenziato da parte di una Pubblica Amministrazione a seguito di procedimento disciplinare;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Scaduto inutilmente il termine anzidetto, l’Amministrazione comunicherà di non dar luogo alla stipula del contratto.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 verifica delle dichiarazioni rese e del possesso dei requisiti dichiarati, sarà effettuata prima di procedere all’assunzione. Il riscontro di eventuali dichiarazioni mendaci o la mancanza dell’effettivo possesso dei requisiti produrrà l’esclusione dalla selezione, nonché eventuali conseguenze di carattere penale.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L’Amministrazione, inoltre, sottoporrà a visita medica il vincitore, riservandosi di non procedere all’assunzione in servizio nel caso che, da tale visita, questi non risultasse in possesso del prescritto requisito di idoneità psico-fisica all’impiego per il quale concorre. </w:t>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Espletate le procedure di cui ai paragrafi precedenti, il vincitore della selezione dovrà sottoscrivere il contratto individuale di lavoro ed assumere servizio alla data ivi indicata. La mancata presentazione in servizio entro il termine stabilito comporterà l'immediata risoluzione del rapporto di lavoro senza diritto ad alcuna indennità.</w:t>
      </w:r>
    </w:p>
    <w:p>
      <w:pPr>
        <w:pStyle w:val="Normal"/>
        <w:pBdr>
          <w:bottom w:val="single" w:sz="6" w:space="4" w:color="4F81BD"/>
        </w:pBdr>
        <w:spacing w:lineRule="auto" w:line="240" w:before="0" w:after="0"/>
        <w:ind w:right="936" w:hanging="0"/>
        <w:jc w:val="both"/>
        <w:rPr>
          <w:rFonts w:ascii="Calibri" w:hAnsi="Calibri" w:eastAsia="Times New Roman" w:cs="Times New Roman"/>
          <w:b/>
          <w:b/>
          <w:bCs/>
          <w:i/>
          <w:i/>
          <w:iCs/>
          <w:color w:val="000000"/>
          <w:sz w:val="24"/>
          <w:szCs w:val="24"/>
          <w:lang w:eastAsia="it-IT"/>
        </w:rPr>
      </w:pPr>
      <w:r>
        <w:rPr>
          <w:rFonts w:eastAsia="Times New Roman" w:cs="Times New Roman"/>
          <w:b/>
          <w:bCs/>
          <w:i/>
          <w:iCs/>
          <w:color w:val="000000"/>
          <w:sz w:val="24"/>
          <w:szCs w:val="24"/>
          <w:lang w:eastAsia="it-IT"/>
        </w:rPr>
      </w:r>
    </w:p>
    <w:p>
      <w:pPr>
        <w:pStyle w:val="Normal"/>
        <w:pBdr>
          <w:bottom w:val="single" w:sz="6" w:space="4" w:color="4F81BD"/>
        </w:pBdr>
        <w:spacing w:lineRule="auto" w:line="240" w:before="0" w:after="0"/>
        <w:ind w:right="936" w:hanging="0"/>
        <w:jc w:val="both"/>
        <w:rPr>
          <w:rFonts w:ascii="Calibri" w:hAnsi="Calibri"/>
          <w:sz w:val="24"/>
          <w:szCs w:val="24"/>
        </w:rPr>
      </w:pPr>
      <w:r>
        <w:rPr>
          <w:rFonts w:eastAsia="Times New Roman" w:cs="Times New Roman"/>
          <w:b/>
          <w:bCs/>
          <w:i/>
          <w:iCs/>
          <w:color w:val="000000"/>
          <w:sz w:val="24"/>
          <w:szCs w:val="24"/>
          <w:lang w:eastAsia="it-IT"/>
        </w:rPr>
        <w:t xml:space="preserve">ART. 12 - DISPOSIZIONI FINALI E INFORMAZIONI SUL PROCEDIMENTO </w:t>
      </w:r>
    </w:p>
    <w:p>
      <w:pPr>
        <w:pStyle w:val="Normal"/>
        <w:spacing w:lineRule="auto" w:line="240" w:before="0" w:after="0"/>
        <w:jc w:val="both"/>
        <w:rPr/>
      </w:pPr>
      <w:r>
        <w:rPr>
          <w:rFonts w:eastAsia="Times New Roman" w:cs="Times New Roman"/>
          <w:color w:val="000000"/>
          <w:sz w:val="24"/>
          <w:szCs w:val="24"/>
          <w:lang w:eastAsia="it-IT"/>
        </w:rPr>
        <w:t xml:space="preserve">Per quanto non previsto nel presente </w:t>
      </w:r>
      <w:r>
        <w:rPr>
          <w:rFonts w:eastAsia="Times New Roman" w:cs="Times New Roman"/>
          <w:color w:val="000000"/>
          <w:kern w:val="0"/>
          <w:sz w:val="24"/>
          <w:szCs w:val="24"/>
          <w:lang w:val="it-IT" w:eastAsia="it-IT" w:bidi="ar-SA"/>
        </w:rPr>
        <w:t>Bando</w:t>
      </w:r>
      <w:r>
        <w:rPr>
          <w:rFonts w:eastAsia="Times New Roman" w:cs="Times New Roman"/>
          <w:color w:val="000000"/>
          <w:sz w:val="24"/>
          <w:szCs w:val="24"/>
          <w:lang w:eastAsia="it-IT"/>
        </w:rPr>
        <w:t xml:space="preserve">, si rimanda al Regolamento delle procedure di selezione del personale del Comune di Sant’Antioco, approvato con la Deliberazione della Giunta Municipale n. 216 del 27/11/2018 </w:t>
      </w:r>
      <w:r>
        <w:rPr>
          <w:rFonts w:eastAsia="Times New Roman" w:cs="Times New Roman"/>
          <w:b w:val="false"/>
          <w:bCs w:val="false"/>
          <w:i w:val="false"/>
          <w:iCs w:val="false"/>
          <w:color w:val="000000"/>
          <w:kern w:val="0"/>
          <w:sz w:val="24"/>
          <w:szCs w:val="24"/>
          <w:u w:val="none"/>
          <w:lang w:val="it-IT" w:eastAsia="it-IT" w:bidi="ar-SA"/>
        </w:rPr>
        <w:t>e successivamente modificato con le deliberazioni della Giunta Municipale n. 14 del 24/02/2020, n. 55 del 15/05/2020 e n. 179 del 30/12/2021</w:t>
      </w:r>
      <w:r>
        <w:rPr>
          <w:rFonts w:eastAsia="Times New Roman" w:cs="Times New Roman"/>
          <w:color w:val="000000"/>
          <w:sz w:val="24"/>
          <w:szCs w:val="24"/>
          <w:lang w:eastAsia="it-IT"/>
        </w:rPr>
        <w:t xml:space="preserve">, al Contratto Collettivo Nazionale di Lavoro del Comparto Regioni e Autonomie Locali, al Contratto Collettivo Decentrato Integrativo del Comune di Sant’Antioco e al D.P.R. 487/94 e successive modificazioni ed integrazioni, disposizioni tutte che si intendono incondizionatamente accettate dai candidati con il solo fatto della partecipazione alla selezione.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sz w:val="24"/>
          <w:szCs w:val="24"/>
          <w:lang w:eastAsia="it-IT"/>
        </w:rPr>
        <w:t xml:space="preserve">Il presente </w:t>
      </w:r>
      <w:r>
        <w:rPr>
          <w:rFonts w:eastAsia="Times New Roman" w:cs="Times New Roman"/>
          <w:color w:val="000000"/>
          <w:kern w:val="0"/>
          <w:sz w:val="24"/>
          <w:szCs w:val="24"/>
          <w:lang w:val="it-IT" w:eastAsia="it-IT" w:bidi="ar-SA"/>
        </w:rPr>
        <w:t>Bando</w:t>
      </w:r>
      <w:r>
        <w:rPr>
          <w:rFonts w:eastAsia="Times New Roman" w:cs="Times New Roman"/>
          <w:color w:val="000000"/>
          <w:sz w:val="24"/>
          <w:szCs w:val="24"/>
          <w:lang w:eastAsia="it-IT"/>
        </w:rPr>
        <w:t xml:space="preserve"> costituisce lex specialis della procedura selettiva; pertanto, la partecipazione alla stessa comporta approvazione e accettazione, totale e incondizionata, senza riserva alcuna, di tutte le disposizioni ivi contenute e degli atti in esse richiamate.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L'amministrazione comunale non assume alcuna responsabilità per il caso di dispersione di comunicazioni dipendente da inesatte indicazioni del recapito da parte del/la candidato/a o da mancata oppure tardiva comunicazione del cambiamento dell'indirizzo indicato nella domanda né per eventuali disguidi postali o telegrafici o ritardi di partecipazione imputabili a fatto di terzi, al caso fortuito o a forza maggiore.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Il Comune di Sant’Antioco si riserva la facoltà, a suo insindacabile giudizio, di revocare, modificare o prorogare il presente bando; parimenti, il Comune di Sant’Antioco si riserva la facoltà di non procedere alle assunzioni, senza che i concorrenti possano sollevare obiezioni o avanzare diritti. </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 xml:space="preserve">Per qualsiasi informazione sulla presente procedura pubblica di selezione che non siano attinenti alle modalità di presentazione della domanda è possibile inoltrare apposita mail a </w:t>
      </w:r>
      <w:r>
        <w:rPr>
          <w:rFonts w:eastAsia="Times New Roman" w:cs="Times New Roman"/>
          <w:color w:val="000000"/>
          <w:sz w:val="24"/>
          <w:szCs w:val="24"/>
          <w:u w:val="single"/>
          <w:lang w:eastAsia="it-IT"/>
        </w:rPr>
        <w:t>personale@comune.santantioco.su.it</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Le risposte alle richieste di chiarimenti saranno pubblicate su – “Amministrazione Trasparente", sezione "Bandi di Selezione", sotto-sezione "Bandi di Concorso”.</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rFonts w:ascii="Calibri" w:hAnsi="Calibri"/>
          <w:sz w:val="24"/>
          <w:szCs w:val="24"/>
        </w:rPr>
      </w:pPr>
      <w:r>
        <w:rPr>
          <w:rFonts w:eastAsia="Times New Roman" w:cs="Times New Roman"/>
          <w:color w:val="000000"/>
          <w:sz w:val="24"/>
          <w:szCs w:val="24"/>
          <w:lang w:eastAsia="it-IT"/>
        </w:rPr>
        <w:t>L’amministrazione si riserva di non fornire risposte ai quesiti presentati oltre i 5 giorni precedenti il termine di presentazione della domanda.</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sz w:val="24"/>
          <w:szCs w:val="24"/>
          <w:lang w:eastAsia="it-IT"/>
        </w:rPr>
        <w:t xml:space="preserve">La tutela giurisdizionale si attua innanzi al TAR </w:t>
      </w:r>
      <w:r>
        <w:rPr>
          <w:rFonts w:eastAsia="Times New Roman" w:cs="Times New Roman"/>
          <w:color w:val="000000"/>
          <w:kern w:val="0"/>
          <w:sz w:val="24"/>
          <w:szCs w:val="24"/>
          <w:lang w:val="it-IT" w:eastAsia="it-IT" w:bidi="ar-SA"/>
        </w:rPr>
        <w:t>Sardegna.</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jc w:val="both"/>
        <w:rPr/>
      </w:pPr>
      <w:r>
        <w:rPr>
          <w:rFonts w:eastAsia="Times New Roman" w:cs="Times New Roman"/>
          <w:color w:val="000000"/>
          <w:kern w:val="0"/>
          <w:sz w:val="24"/>
          <w:szCs w:val="24"/>
          <w:lang w:val="it-IT" w:eastAsia="it-IT" w:bidi="ar-SA"/>
        </w:rPr>
        <w:t>Il presente Bando</w:t>
      </w:r>
      <w:r>
        <w:rPr>
          <w:rFonts w:eastAsia="Times New Roman" w:cs="Times New Roman"/>
          <w:color w:val="000000"/>
          <w:sz w:val="24"/>
          <w:szCs w:val="24"/>
          <w:lang w:eastAsia="it-IT"/>
        </w:rPr>
        <w:t xml:space="preserve"> è disponibile sul portale “InPA” e sul sito internet del Comune di Sant’Antioco all’indirizzo </w:t>
      </w:r>
      <w:hyperlink r:id="rId11">
        <w:r>
          <w:rPr>
            <w:rStyle w:val="CollegamentoInternet"/>
            <w:rFonts w:eastAsia="Times New Roman" w:cs="Times New Roman"/>
            <w:color w:val="000000"/>
            <w:sz w:val="24"/>
            <w:szCs w:val="24"/>
            <w:lang w:eastAsia="it-IT"/>
          </w:rPr>
          <w:t>www.comune.santantioco.su.it</w:t>
        </w:r>
      </w:hyperlink>
      <w:r>
        <w:rPr>
          <w:rFonts w:eastAsia="Times New Roman" w:cs="Times New Roman"/>
          <w:color w:val="000000"/>
          <w:sz w:val="24"/>
          <w:szCs w:val="24"/>
          <w:lang w:eastAsia="it-IT"/>
        </w:rPr>
        <w:t>.</w:t>
      </w:r>
    </w:p>
    <w:p>
      <w:pPr>
        <w:pStyle w:val="Normal"/>
        <w:spacing w:lineRule="auto" w:line="240" w:before="0" w:after="0"/>
        <w:jc w:val="both"/>
        <w:rPr>
          <w:rFonts w:ascii="Calibri" w:hAnsi="Calibri" w:eastAsia="Times New Roman" w:cs="Times New Roman"/>
          <w:color w:val="000000"/>
          <w:sz w:val="24"/>
          <w:szCs w:val="24"/>
          <w:lang w:eastAsia="it-IT"/>
        </w:rPr>
      </w:pPr>
      <w:r>
        <w:rPr>
          <w:rFonts w:eastAsia="Times New Roman" w:cs="Times New Roman"/>
          <w:color w:val="000000"/>
          <w:sz w:val="24"/>
          <w:szCs w:val="24"/>
          <w:lang w:eastAsia="it-IT"/>
        </w:rPr>
      </w:r>
    </w:p>
    <w:p>
      <w:pPr>
        <w:pStyle w:val="Normal"/>
        <w:spacing w:lineRule="auto" w:line="240" w:before="0" w:after="0"/>
        <w:ind w:left="2835" w:firstLine="709"/>
        <w:jc w:val="both"/>
        <w:rPr>
          <w:rFonts w:ascii="Calibri" w:hAnsi="Calibri"/>
          <w:sz w:val="24"/>
          <w:szCs w:val="24"/>
        </w:rPr>
      </w:pPr>
      <w:r>
        <w:rPr>
          <w:rFonts w:eastAsia="Times New Roman" w:cs="Times New Roman"/>
          <w:b/>
          <w:bCs/>
          <w:color w:val="000000"/>
          <w:sz w:val="24"/>
          <w:szCs w:val="24"/>
          <w:lang w:eastAsia="it-IT"/>
        </w:rPr>
        <w:tab/>
        <w:tab/>
        <w:tab/>
        <w:t>IL RESPONSABILE DEL SERVIZIO</w:t>
      </w:r>
    </w:p>
    <w:p>
      <w:pPr>
        <w:pStyle w:val="Normal"/>
        <w:spacing w:lineRule="auto" w:line="240" w:before="0" w:after="0"/>
        <w:ind w:left="5103" w:hanging="0"/>
        <w:jc w:val="both"/>
        <w:rPr>
          <w:rFonts w:ascii="Calibri" w:hAnsi="Calibri"/>
          <w:sz w:val="24"/>
          <w:szCs w:val="24"/>
        </w:rPr>
      </w:pPr>
      <w:r>
        <w:rPr>
          <w:rFonts w:eastAsia="Times New Roman" w:cs="Times New Roman"/>
          <w:b/>
          <w:bCs/>
          <w:color w:val="000000"/>
          <w:sz w:val="24"/>
          <w:szCs w:val="24"/>
          <w:lang w:eastAsia="it-IT"/>
        </w:rPr>
        <w:tab/>
        <w:tab/>
        <w:t>f.to Dr.ssa Beatrice Lai</w:t>
      </w:r>
    </w:p>
    <w:p>
      <w:pPr>
        <w:pStyle w:val="Normal"/>
        <w:spacing w:lineRule="auto" w:line="240" w:before="0" w:after="0"/>
        <w:jc w:val="both"/>
        <w:rPr>
          <w:rFonts w:ascii="Calibri" w:hAnsi="Calibri"/>
          <w:sz w:val="24"/>
          <w:szCs w:val="24"/>
        </w:rPr>
      </w:pPr>
      <w:r>
        <w:rPr/>
      </w:r>
    </w:p>
    <w:sectPr>
      <w:headerReference w:type="default" r:id="rId12"/>
      <w:type w:val="nextPage"/>
      <w:pgSz w:w="11906" w:h="16838"/>
      <w:pgMar w:left="1134" w:right="1134" w:header="708"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Liberation Sans">
    <w:altName w:val="Arial"/>
    <w:charset w:val="00"/>
    <w:family w:val="roman"/>
    <w:pitch w:val="variable"/>
  </w:font>
  <w:font w:name="Century Gothic">
    <w:charset w:val="00"/>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ind w:right="20" w:hanging="0"/>
      <w:jc w:val="center"/>
      <w:rPr>
        <w:color w:val="000000"/>
        <w:sz w:val="43"/>
      </w:rPr>
    </w:pPr>
    <w:r>
      <w:drawing>
        <wp:anchor behindDoc="1" distT="0" distB="0" distL="0" distR="0" simplePos="0" locked="0" layoutInCell="1" allowOverlap="1" relativeHeight="16">
          <wp:simplePos x="0" y="0"/>
          <wp:positionH relativeFrom="page">
            <wp:posOffset>1057910</wp:posOffset>
          </wp:positionH>
          <wp:positionV relativeFrom="page">
            <wp:posOffset>351790</wp:posOffset>
          </wp:positionV>
          <wp:extent cx="609600" cy="800100"/>
          <wp:effectExtent l="0" t="0" r="0" b="0"/>
          <wp:wrapNone/>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1"/>
                  <a:stretch>
                    <a:fillRect/>
                  </a:stretch>
                </pic:blipFill>
                <pic:spPr bwMode="auto">
                  <a:xfrm>
                    <a:off x="0" y="0"/>
                    <a:ext cx="609600" cy="800100"/>
                  </a:xfrm>
                  <a:prstGeom prst="rect">
                    <a:avLst/>
                  </a:prstGeom>
                </pic:spPr>
              </pic:pic>
            </a:graphicData>
          </a:graphic>
        </wp:anchor>
      </w:drawing>
    </w:r>
    <w:r>
      <w:rPr>
        <w:i/>
        <w:color w:val="808080"/>
        <w:sz w:val="52"/>
      </w:rPr>
      <w:t>C</w:t>
    </w:r>
    <w:r>
      <w:rPr>
        <w:color w:val="000000"/>
        <w:sz w:val="43"/>
      </w:rPr>
      <w:t>omune di</w:t>
    </w:r>
    <w:r>
      <w:rPr>
        <w:i/>
        <w:color w:val="808080"/>
        <w:sz w:val="52"/>
      </w:rPr>
      <w:t xml:space="preserve"> S</w:t>
    </w:r>
    <w:r>
      <w:rPr>
        <w:color w:val="000000"/>
        <w:sz w:val="43"/>
      </w:rPr>
      <w:t>ant’</w:t>
    </w:r>
    <w:r>
      <w:rPr>
        <w:i/>
        <w:color w:val="808080"/>
        <w:sz w:val="52"/>
      </w:rPr>
      <w:t>A</w:t>
    </w:r>
    <w:r>
      <w:rPr>
        <w:color w:val="000000"/>
        <w:sz w:val="43"/>
      </w:rPr>
      <w:t>ntioco</w:t>
    </w:r>
  </w:p>
  <w:p>
    <w:pPr>
      <w:pStyle w:val="Normal"/>
      <w:spacing w:lineRule="exact" w:line="9"/>
      <w:rPr>
        <w:rFonts w:ascii="Times New Roman" w:hAnsi="Times New Roman" w:eastAsia="Times New Roman"/>
        <w:sz w:val="24"/>
      </w:rPr>
    </w:pPr>
    <w:r>
      <w:rPr>
        <w:rFonts w:eastAsia="Times New Roman" w:ascii="Times New Roman" w:hAnsi="Times New Roman"/>
        <w:sz w:val="24"/>
      </w:rPr>
    </w:r>
  </w:p>
  <w:p>
    <w:pPr>
      <w:pStyle w:val="Normal"/>
      <w:spacing w:lineRule="auto" w:line="240"/>
      <w:jc w:val="center"/>
      <w:rPr>
        <w:color w:val="000000"/>
        <w:sz w:val="23"/>
      </w:rPr>
    </w:pPr>
    <w:r>
      <w:rPr>
        <w:i/>
        <w:color w:val="808080"/>
        <w:sz w:val="36"/>
      </w:rPr>
      <w:t>P</w:t>
    </w:r>
    <w:r>
      <w:rPr>
        <w:color w:val="000000"/>
        <w:sz w:val="23"/>
      </w:rPr>
      <w:t>rovincia del</w:t>
    </w:r>
    <w:r>
      <w:rPr>
        <w:i/>
        <w:color w:val="808080"/>
        <w:sz w:val="36"/>
      </w:rPr>
      <w:t xml:space="preserve"> S</w:t>
    </w:r>
    <w:r>
      <w:rPr>
        <w:color w:val="000000"/>
        <w:sz w:val="23"/>
      </w:rPr>
      <w:t>ud</w:t>
    </w:r>
    <w:r>
      <w:rPr>
        <w:i/>
        <w:color w:val="808080"/>
        <w:sz w:val="36"/>
      </w:rPr>
      <w:t xml:space="preserve"> S</w:t>
    </w:r>
    <w:r>
      <w:rPr>
        <w:color w:val="000000"/>
        <w:sz w:val="23"/>
      </w:rPr>
      <w:t>ardegna</w:t>
    </w:r>
  </w:p>
  <w:p>
    <w:pPr>
      <w:pStyle w:val="Intestazione"/>
      <w:jc w:val="center"/>
      <w:rPr/>
    </w:pPr>
    <w:r>
      <w:rPr>
        <w:rFonts w:eastAsia="Century Gothic" w:ascii="Century Gothic" w:hAnsi="Century Gothic"/>
        <w:sz w:val="28"/>
      </w:rPr>
      <w:t>S</w:t>
    </w:r>
    <w:r>
      <w:rPr>
        <w:rFonts w:eastAsia="Century Gothic" w:ascii="Century Gothic" w:hAnsi="Century Gothic"/>
      </w:rPr>
      <w:t>ervizio</w:t>
    </w:r>
    <w:r>
      <w:rPr>
        <w:rFonts w:eastAsia="Century Gothic" w:ascii="Century Gothic" w:hAnsi="Century Gothic"/>
        <w:sz w:val="28"/>
      </w:rPr>
      <w:t xml:space="preserve"> G</w:t>
    </w:r>
    <w:r>
      <w:rPr>
        <w:rFonts w:eastAsia="Century Gothic" w:ascii="Century Gothic" w:hAnsi="Century Gothic"/>
      </w:rPr>
      <w:t>estione delle</w:t>
    </w:r>
    <w:r>
      <w:rPr>
        <w:rFonts w:eastAsia="Century Gothic" w:ascii="Century Gothic" w:hAnsi="Century Gothic"/>
        <w:sz w:val="28"/>
      </w:rPr>
      <w:t xml:space="preserve"> R</w:t>
    </w:r>
    <w:r>
      <w:rPr>
        <w:rFonts w:eastAsia="Century Gothic" w:ascii="Century Gothic" w:hAnsi="Century Gothic"/>
      </w:rPr>
      <w:t>isorse Umane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pStyle w:val="Titolo2"/>
      <w:numFmt w:val="none"/>
      <w:suff w:val="nothing"/>
      <w:lvlText w:val=""/>
      <w:lvlJc w:val="left"/>
      <w:pPr>
        <w:tabs>
          <w:tab w:val="num" w:pos="0"/>
        </w:tabs>
        <w:ind w:left="0" w:hanging="0"/>
      </w:pPr>
    </w:lvl>
    <w:lvl w:ilvl="2">
      <w:start w:val="1"/>
      <w:pStyle w:val="Titolo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08"/>
  <w:autoHyphenation w:val="true"/>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67413"/>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2">
    <w:name w:val="Heading 2"/>
    <w:basedOn w:val="Titolo"/>
    <w:next w:val="Corpodeltesto"/>
    <w:qFormat/>
    <w:pPr>
      <w:numPr>
        <w:ilvl w:val="1"/>
        <w:numId w:val="1"/>
      </w:numPr>
      <w:spacing w:before="200" w:after="120"/>
      <w:outlineLvl w:val="1"/>
    </w:pPr>
    <w:rPr>
      <w:rFonts w:ascii="Liberation Serif" w:hAnsi="Liberation Serif" w:eastAsia="Segoe UI" w:cs="Tahoma"/>
      <w:b/>
      <w:bCs/>
      <w:sz w:val="36"/>
      <w:szCs w:val="36"/>
    </w:rPr>
  </w:style>
  <w:style w:type="paragraph" w:styleId="Titolo3">
    <w:name w:val="Heading 3"/>
    <w:basedOn w:val="Titolo"/>
    <w:next w:val="Corpodeltesto"/>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6b4f84"/>
    <w:rPr>
      <w:color w:val="000080"/>
      <w:u w:val="single"/>
    </w:rPr>
  </w:style>
  <w:style w:type="character" w:styleId="IntestazioneCarattere" w:customStyle="1">
    <w:name w:val="Intestazione Carattere"/>
    <w:basedOn w:val="DefaultParagraphFont"/>
    <w:link w:val="Intestazione"/>
    <w:uiPriority w:val="99"/>
    <w:semiHidden/>
    <w:qFormat/>
    <w:rsid w:val="002d6b2b"/>
    <w:rPr/>
  </w:style>
  <w:style w:type="character" w:styleId="PidipaginaCarattere" w:customStyle="1">
    <w:name w:val="Piè di pagina Carattere"/>
    <w:basedOn w:val="DefaultParagraphFont"/>
    <w:link w:val="Pidipagina"/>
    <w:uiPriority w:val="99"/>
    <w:qFormat/>
    <w:rsid w:val="002d6b2b"/>
    <w:rPr/>
  </w:style>
  <w:style w:type="character" w:styleId="CollegamentoInternetvisitato">
    <w:name w:val="Collegamento Internet visitato"/>
    <w:rPr>
      <w:color w:val="800000"/>
      <w:u w:val="single"/>
    </w:rPr>
  </w:style>
  <w:style w:type="character" w:styleId="Caratteridinumerazione">
    <w:name w:val="Caratteri di numerazione"/>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NormalWeb">
    <w:name w:val="Normal (Web)"/>
    <w:basedOn w:val="Normal"/>
    <w:uiPriority w:val="99"/>
    <w:unhideWhenUsed/>
    <w:qFormat/>
    <w:rsid w:val="006b4f84"/>
    <w:pPr>
      <w:spacing w:lineRule="auto" w:line="240" w:beforeAutospacing="1" w:after="119"/>
    </w:pPr>
    <w:rPr>
      <w:rFonts w:ascii="Times New Roman" w:hAnsi="Times New Roman" w:eastAsia="Times New Roman" w:cs="Times New Roman"/>
      <w:sz w:val="24"/>
      <w:szCs w:val="24"/>
      <w:lang w:eastAsia="it-IT"/>
    </w:rPr>
  </w:style>
  <w:style w:type="paragraph" w:styleId="Default" w:customStyle="1">
    <w:name w:val="Default"/>
    <w:qFormat/>
    <w:rsid w:val="00257b8c"/>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it-IT" w:eastAsia="en-US" w:bidi="ar-SA"/>
    </w:rPr>
  </w:style>
  <w:style w:type="paragraph" w:styleId="ListParagraph">
    <w:name w:val="List Paragraph"/>
    <w:basedOn w:val="Normal"/>
    <w:uiPriority w:val="34"/>
    <w:qFormat/>
    <w:rsid w:val="00257b8c"/>
    <w:pPr>
      <w:spacing w:before="0" w:after="200"/>
      <w:ind w:left="720" w:hanging="0"/>
      <w:contextualSpacing/>
    </w:pPr>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semiHidden/>
    <w:unhideWhenUsed/>
    <w:rsid w:val="002d6b2b"/>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2d6b2b"/>
    <w:pPr>
      <w:tabs>
        <w:tab w:val="clear" w:pos="708"/>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inpa.gov.it/" TargetMode="External"/><Relationship Id="rId3" Type="http://schemas.openxmlformats.org/officeDocument/2006/relationships/hyperlink" Target="https://comune.santantioco.su.it/" TargetMode="External"/><Relationship Id="rId4" Type="http://schemas.openxmlformats.org/officeDocument/2006/relationships/hyperlink" Target="https://trasparenza.comune.santantioco.su.it/" TargetMode="External"/><Relationship Id="rId5" Type="http://schemas.openxmlformats.org/officeDocument/2006/relationships/hyperlink" Target="https://www.inpa.gov.it/" TargetMode="External"/><Relationship Id="rId6" Type="http://schemas.openxmlformats.org/officeDocument/2006/relationships/hyperlink" Target="https://comune.santantioco.su.it/" TargetMode="External"/><Relationship Id="rId7" Type="http://schemas.openxmlformats.org/officeDocument/2006/relationships/hyperlink" Target="https://trasparenza.comune.santantioco.su.it/" TargetMode="External"/><Relationship Id="rId8" Type="http://schemas.openxmlformats.org/officeDocument/2006/relationships/hyperlink" Target="http://www.comune.santantioco.su.it/" TargetMode="External"/><Relationship Id="rId9" Type="http://schemas.openxmlformats.org/officeDocument/2006/relationships/hyperlink" Target="https://pagopa.comune.santantioco.su.it/PagamentiOnLine/" TargetMode="External"/><Relationship Id="rId10" Type="http://schemas.openxmlformats.org/officeDocument/2006/relationships/hyperlink" Target="http://www.comune.santantioco.su.it/" TargetMode="External"/><Relationship Id="rId11" Type="http://schemas.openxmlformats.org/officeDocument/2006/relationships/hyperlink" Target="http://www.comune.santantioco.ca.it/" TargetMode="External"/><Relationship Id="rId12" Type="http://schemas.openxmlformats.org/officeDocument/2006/relationships/header" Target="header1.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5506</TotalTime>
  <Application>LibreOffice/6.4.7.2$Windows_X86_64 LibreOffice_project/639b8ac485750d5696d7590a72ef1b496725cfb5</Application>
  <Pages>15</Pages>
  <Words>5833</Words>
  <Characters>34746</Characters>
  <CharactersWithSpaces>40436</CharactersWithSpaces>
  <Paragraphs>258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2020-05-05T20:04:00Z</dcterms:created>
  <dc:creator>milia emanuela</dc:creator>
  <dc:description/>
  <dc:language>it-IT</dc:language>
  <cp:lastModifiedBy/>
  <cp:lastPrinted>2023-05-15T14:19:24Z</cp:lastPrinted>
  <dcterms:modified xsi:type="dcterms:W3CDTF">2023-05-22T10:46:36Z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