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sz w:val="30"/>
          <w:szCs w:val="30"/>
        </w:rPr>
      </w:pPr>
      <w:r>
        <w:rPr>
          <w:rFonts w:ascii="Calibri" w:hAnsi="Calibri"/>
          <w:b/>
          <w:sz w:val="30"/>
          <w:szCs w:val="30"/>
        </w:rPr>
        <w:t>BANDO PROGRESSIONI ECONOMICHE ORIZZONTALI ANNO 2022</w:t>
      </w:r>
    </w:p>
    <w:p>
      <w:pPr>
        <w:pStyle w:val="Intestazione"/>
        <w:rPr>
          <w:sz w:val="30"/>
          <w:szCs w:val="30"/>
        </w:rPr>
      </w:pPr>
      <w:r>
        <w:rPr>
          <w:rFonts w:ascii="Calibri" w:hAnsi="Calibri"/>
          <w:sz w:val="30"/>
          <w:szCs w:val="30"/>
        </w:rPr>
        <w:tab/>
      </w:r>
    </w:p>
    <w:p>
      <w:pPr>
        <w:pStyle w:val="Intestazione"/>
        <w:jc w:val="center"/>
        <w:rPr>
          <w:rFonts w:ascii="Calibri" w:hAnsi="Calibri"/>
          <w:sz w:val="20"/>
          <w:szCs w:val="20"/>
        </w:rPr>
      </w:pPr>
      <w:r>
        <w:rPr>
          <w:rFonts w:eastAsia="Times New Roman" w:cs="Times New Roman" w:ascii="Calibri" w:hAnsi="Calibri"/>
          <w:b/>
          <w:color w:val="auto"/>
          <w:kern w:val="0"/>
          <w:sz w:val="20"/>
          <w:szCs w:val="20"/>
          <w:lang w:val="it-IT" w:eastAsia="it-IT" w:bidi="ar-SA"/>
        </w:rPr>
        <w:t>IL</w:t>
      </w:r>
      <w:r>
        <w:rPr>
          <w:rFonts w:ascii="Calibri" w:hAnsi="Calibri"/>
          <w:b/>
          <w:sz w:val="20"/>
          <w:szCs w:val="20"/>
        </w:rPr>
        <w:t xml:space="preserve"> RESPONSABILE DEL SERVIZIO  </w:t>
      </w:r>
    </w:p>
    <w:p>
      <w:pPr>
        <w:pStyle w:val="Intestazione"/>
        <w:jc w:val="center"/>
        <w:rPr>
          <w:rFonts w:ascii="Calibri" w:hAnsi="Calibri"/>
          <w:sz w:val="20"/>
          <w:szCs w:val="20"/>
        </w:rPr>
      </w:pPr>
      <w:r>
        <w:rPr>
          <w:rFonts w:ascii="Calibri" w:hAnsi="Calibri"/>
          <w:sz w:val="20"/>
          <w:szCs w:val="20"/>
        </w:rPr>
      </w:r>
    </w:p>
    <w:p>
      <w:pPr>
        <w:pStyle w:val="Normal"/>
        <w:jc w:val="both"/>
        <w:rPr>
          <w:rFonts w:ascii="Calibri" w:hAnsi="Calibri"/>
          <w:sz w:val="20"/>
          <w:szCs w:val="20"/>
        </w:rPr>
      </w:pPr>
      <w:r>
        <w:rPr>
          <w:rFonts w:ascii="Calibri" w:hAnsi="Calibri"/>
          <w:sz w:val="20"/>
          <w:szCs w:val="20"/>
        </w:rPr>
        <w:t>Visto il regolamento per le Progressioni Economiche Orizzontali approvato con deliberazione della Giunta Comunale n. 187 del 16.12.2016 e s.m.i.;</w:t>
      </w:r>
    </w:p>
    <w:p>
      <w:pPr>
        <w:pStyle w:val="Normal"/>
        <w:jc w:val="both"/>
        <w:rPr>
          <w:rFonts w:ascii="Calibri" w:hAnsi="Calibri"/>
          <w:sz w:val="20"/>
          <w:szCs w:val="20"/>
        </w:rPr>
      </w:pPr>
      <w:r>
        <w:rPr>
          <w:rFonts w:ascii="Calibri" w:hAnsi="Calibri"/>
          <w:sz w:val="20"/>
          <w:szCs w:val="20"/>
        </w:rPr>
        <w:t xml:space="preserve">Visto l’art. 16 del CCNL 21 maggio 2018 del comparto Funzioni Locali che disciplina l’istituto della progressione economica all’interno della categoria; </w:t>
      </w:r>
    </w:p>
    <w:p>
      <w:pPr>
        <w:pStyle w:val="Normal"/>
        <w:jc w:val="both"/>
        <w:rPr>
          <w:rFonts w:ascii="Calibri" w:hAnsi="Calibri"/>
          <w:sz w:val="20"/>
          <w:szCs w:val="20"/>
        </w:rPr>
      </w:pPr>
      <w:r>
        <w:rPr>
          <w:rFonts w:ascii="Calibri" w:hAnsi="Calibri"/>
          <w:sz w:val="20"/>
          <w:szCs w:val="20"/>
        </w:rPr>
        <w:t xml:space="preserve">Visto il contratto collettivo decentrato integrativo parte normativa </w:t>
      </w:r>
      <w:r>
        <w:rPr>
          <w:rFonts w:ascii="Calibri" w:hAnsi="Calibri"/>
          <w:sz w:val="20"/>
        </w:rPr>
        <w:t>sottoscritto in data 30.12.2019 e i relativi allegati;</w:t>
      </w:r>
    </w:p>
    <w:p>
      <w:pPr>
        <w:pStyle w:val="Normal"/>
        <w:jc w:val="both"/>
        <w:rPr>
          <w:rFonts w:ascii="Calibri" w:hAnsi="Calibri"/>
          <w:sz w:val="20"/>
          <w:szCs w:val="20"/>
        </w:rPr>
      </w:pPr>
      <w:r>
        <w:rPr>
          <w:rFonts w:ascii="Calibri" w:hAnsi="Calibri"/>
          <w:sz w:val="20"/>
          <w:szCs w:val="20"/>
        </w:rPr>
        <w:t xml:space="preserve">Visto il contratto collettivo decentrato integrativo di destinazione delle risorse decentrate per l’anno 2021 e integrativo della </w:t>
      </w:r>
      <w:r>
        <w:rPr>
          <w:rFonts w:eastAsia="Times New Roman" w:cs="Times New Roman" w:ascii="Calibri" w:hAnsi="Calibri"/>
          <w:color w:val="auto"/>
          <w:kern w:val="0"/>
          <w:sz w:val="20"/>
          <w:szCs w:val="20"/>
          <w:lang w:val="it-IT" w:eastAsia="it-IT" w:bidi="ar-SA"/>
        </w:rPr>
        <w:t xml:space="preserve">parte normativa </w:t>
      </w:r>
      <w:r>
        <w:rPr>
          <w:rFonts w:ascii="Calibri" w:hAnsi="Calibri"/>
          <w:sz w:val="20"/>
          <w:szCs w:val="20"/>
        </w:rPr>
        <w:t>sottoscritto in data 30/12/2021 e i relativi allegati;</w:t>
      </w:r>
    </w:p>
    <w:p>
      <w:pPr>
        <w:pStyle w:val="Normal"/>
        <w:jc w:val="both"/>
        <w:rPr>
          <w:rFonts w:ascii="Calibri" w:hAnsi="Calibri"/>
          <w:sz w:val="20"/>
          <w:szCs w:val="20"/>
        </w:rPr>
      </w:pPr>
      <w:r>
        <w:rPr>
          <w:rFonts w:ascii="Calibri" w:hAnsi="Calibri"/>
          <w:sz w:val="20"/>
          <w:szCs w:val="20"/>
        </w:rPr>
        <w:t>Visto il contratto collettivo decentrato integrativo di destinazione delle risorse decentrate per l’anno 2022</w:t>
      </w:r>
      <w:r>
        <w:rPr>
          <w:rFonts w:eastAsia="Times New Roman" w:cs="Times New Roman" w:ascii="Calibri" w:hAnsi="Calibri"/>
          <w:color w:val="auto"/>
          <w:kern w:val="0"/>
          <w:sz w:val="20"/>
          <w:szCs w:val="20"/>
          <w:lang w:val="it-IT" w:eastAsia="it-IT" w:bidi="ar-SA"/>
        </w:rPr>
        <w:t xml:space="preserve"> </w:t>
      </w:r>
      <w:r>
        <w:rPr>
          <w:rFonts w:ascii="Calibri" w:hAnsi="Calibri"/>
          <w:sz w:val="20"/>
          <w:szCs w:val="20"/>
        </w:rPr>
        <w:t>sottoscritto in data 20/12/2022 e i relativi allegati;</w:t>
      </w:r>
    </w:p>
    <w:p>
      <w:pPr>
        <w:pStyle w:val="Normal"/>
        <w:jc w:val="both"/>
        <w:rPr>
          <w:rFonts w:ascii="Calibri" w:hAnsi="Calibri"/>
          <w:sz w:val="20"/>
          <w:szCs w:val="20"/>
        </w:rPr>
      </w:pPr>
      <w:r>
        <w:rPr>
          <w:rFonts w:ascii="Calibri" w:hAnsi="Calibri"/>
          <w:sz w:val="20"/>
          <w:szCs w:val="20"/>
        </w:rPr>
        <w:t xml:space="preserve">Vista la determinazione n. </w:t>
      </w:r>
      <w:r>
        <w:rPr>
          <w:rFonts w:ascii="Calibri" w:hAnsi="Calibri"/>
          <w:b/>
          <w:bCs/>
          <w:sz w:val="20"/>
          <w:szCs w:val="20"/>
        </w:rPr>
        <w:t>XX</w:t>
      </w:r>
      <w:r>
        <w:rPr>
          <w:rFonts w:eastAsia="Times New Roman" w:cs="Times New Roman" w:ascii="Calibri" w:hAnsi="Calibri"/>
          <w:b/>
          <w:bCs/>
          <w:color w:val="000000"/>
          <w:kern w:val="0"/>
          <w:sz w:val="20"/>
          <w:szCs w:val="20"/>
          <w:lang w:val="it-IT" w:eastAsia="it-IT" w:bidi="ar-SA"/>
        </w:rPr>
        <w:t xml:space="preserve"> </w:t>
      </w:r>
      <w:r>
        <w:rPr>
          <w:rFonts w:ascii="Calibri" w:hAnsi="Calibri"/>
          <w:b/>
          <w:bCs/>
          <w:sz w:val="20"/>
          <w:szCs w:val="20"/>
        </w:rPr>
        <w:t>del XX</w:t>
      </w:r>
      <w:r>
        <w:rPr>
          <w:rFonts w:eastAsia="Times New Roman" w:cs="Times New Roman" w:ascii="Calibri" w:hAnsi="Calibri"/>
          <w:b/>
          <w:bCs/>
          <w:color w:val="000000"/>
          <w:kern w:val="0"/>
          <w:sz w:val="20"/>
          <w:szCs w:val="20"/>
          <w:lang w:val="it-IT" w:eastAsia="it-IT" w:bidi="ar-SA"/>
        </w:rPr>
        <w:t>/XX/2023</w:t>
      </w:r>
      <w:r>
        <w:rPr>
          <w:rFonts w:ascii="Calibri" w:hAnsi="Calibri"/>
          <w:sz w:val="20"/>
          <w:szCs w:val="20"/>
        </w:rPr>
        <w:t xml:space="preserve"> esecutiva ai sensi di legge, di approvazione del presente bando di selezione;</w:t>
      </w:r>
    </w:p>
    <w:p>
      <w:pPr>
        <w:pStyle w:val="Normal"/>
        <w:jc w:val="both"/>
        <w:rPr>
          <w:rFonts w:ascii="Calibri" w:hAnsi="Calibri"/>
          <w:sz w:val="20"/>
          <w:szCs w:val="20"/>
        </w:rPr>
      </w:pPr>
      <w:r>
        <w:rPr>
          <w:rFonts w:ascii="Calibri" w:hAnsi="Calibri"/>
          <w:sz w:val="20"/>
          <w:szCs w:val="20"/>
        </w:rPr>
      </w:r>
    </w:p>
    <w:p>
      <w:pPr>
        <w:pStyle w:val="Normal"/>
        <w:jc w:val="center"/>
        <w:rPr>
          <w:rFonts w:ascii="Calibri" w:hAnsi="Calibri"/>
          <w:sz w:val="20"/>
          <w:szCs w:val="20"/>
        </w:rPr>
      </w:pPr>
      <w:r>
        <w:rPr>
          <w:rFonts w:ascii="Calibri" w:hAnsi="Calibri"/>
          <w:b/>
          <w:sz w:val="20"/>
          <w:szCs w:val="20"/>
        </w:rPr>
        <w:t>RENDE NOTO</w:t>
      </w:r>
    </w:p>
    <w:p>
      <w:pPr>
        <w:pStyle w:val="Normal"/>
        <w:jc w:val="both"/>
        <w:rPr>
          <w:rFonts w:ascii="Calibri" w:hAnsi="Calibri"/>
          <w:sz w:val="20"/>
          <w:szCs w:val="20"/>
        </w:rPr>
      </w:pPr>
      <w:r>
        <w:rPr>
          <w:rFonts w:ascii="Calibri" w:hAnsi="Calibri"/>
          <w:sz w:val="20"/>
          <w:szCs w:val="20"/>
        </w:rPr>
      </w:r>
    </w:p>
    <w:p>
      <w:pPr>
        <w:pStyle w:val="Normal"/>
        <w:jc w:val="both"/>
        <w:rPr>
          <w:rFonts w:ascii="Calibri" w:hAnsi="Calibri"/>
          <w:sz w:val="20"/>
          <w:szCs w:val="20"/>
        </w:rPr>
      </w:pPr>
      <w:r>
        <w:rPr>
          <w:rFonts w:ascii="Calibri" w:hAnsi="Calibri"/>
          <w:sz w:val="20"/>
          <w:szCs w:val="20"/>
        </w:rPr>
        <w:t xml:space="preserve">Che è indetta la procedura selettiva per l’attribuzione delle progressioni economiche (PEO) - </w:t>
      </w:r>
      <w:r>
        <w:rPr>
          <w:rFonts w:ascii="Calibri" w:hAnsi="Calibri"/>
          <w:strike w:val="false"/>
          <w:dstrike w:val="false"/>
          <w:sz w:val="20"/>
          <w:szCs w:val="20"/>
        </w:rPr>
        <w:t xml:space="preserve">Anno 2022 - </w:t>
      </w:r>
      <w:r>
        <w:rPr>
          <w:rFonts w:ascii="Calibri" w:hAnsi="Calibri"/>
          <w:sz w:val="20"/>
          <w:szCs w:val="20"/>
        </w:rPr>
        <w:t xml:space="preserve"> ai dipendenti a tempo indeterminato in servizio presso il Comune di Sant’Antioco nelle categorie A, B, C e D, nella misura massima del </w:t>
      </w:r>
      <w:r>
        <w:rPr>
          <w:rFonts w:eastAsia="Times New Roman" w:cs="Times New Roman" w:ascii="Calibri" w:hAnsi="Calibri"/>
          <w:color w:val="auto"/>
          <w:kern w:val="0"/>
          <w:sz w:val="20"/>
          <w:szCs w:val="20"/>
          <w:lang w:val="it-IT" w:eastAsia="it-IT" w:bidi="ar-SA"/>
        </w:rPr>
        <w:t>45</w:t>
      </w:r>
      <w:r>
        <w:rPr>
          <w:rFonts w:ascii="Calibri" w:hAnsi="Calibri"/>
          <w:sz w:val="20"/>
          <w:szCs w:val="20"/>
        </w:rPr>
        <w:t xml:space="preserve">% per ciascuna categoria e nel limite delle risorse finanziarie disponibili secondo quando stabilito in sede di CDI </w:t>
      </w:r>
      <w:r>
        <w:rPr>
          <w:rFonts w:eastAsia="Times New Roman" w:cs="Times New Roman" w:ascii="Calibri" w:hAnsi="Calibri"/>
          <w:color w:val="auto"/>
          <w:kern w:val="0"/>
          <w:sz w:val="20"/>
          <w:szCs w:val="20"/>
          <w:lang w:val="it-IT" w:eastAsia="it-IT" w:bidi="ar-SA"/>
        </w:rPr>
        <w:t>all’atto di ripartizione del Fondo per le risorse accessorie per l’anno 2022.</w:t>
      </w:r>
    </w:p>
    <w:p>
      <w:pPr>
        <w:pStyle w:val="Normal"/>
        <w:jc w:val="both"/>
        <w:rPr>
          <w:rFonts w:ascii="Calibri" w:hAnsi="Calibri"/>
          <w:sz w:val="20"/>
          <w:szCs w:val="20"/>
        </w:rPr>
      </w:pPr>
      <w:r>
        <w:rPr>
          <w:rFonts w:ascii="Calibri" w:hAnsi="Calibri"/>
          <w:sz w:val="20"/>
          <w:szCs w:val="20"/>
        </w:rPr>
      </w:r>
    </w:p>
    <w:p>
      <w:pPr>
        <w:pStyle w:val="Normal"/>
        <w:jc w:val="both"/>
        <w:rPr>
          <w:rFonts w:ascii="Calibri" w:hAnsi="Calibri"/>
          <w:sz w:val="20"/>
          <w:szCs w:val="20"/>
        </w:rPr>
      </w:pPr>
      <w:r>
        <w:rPr>
          <w:rFonts w:ascii="Calibri" w:hAnsi="Calibri"/>
          <w:b/>
          <w:sz w:val="20"/>
          <w:szCs w:val="20"/>
        </w:rPr>
        <w:t>Le progressioni economiche orizzontali, avranno decorrenza giuridica ed economica dal 01/01/2022.</w:t>
      </w:r>
    </w:p>
    <w:p>
      <w:pPr>
        <w:pStyle w:val="ListParagraph"/>
        <w:ind w:left="360" w:right="0" w:hanging="0"/>
        <w:jc w:val="both"/>
        <w:rPr>
          <w:rFonts w:ascii="Calibri" w:hAnsi="Calibri"/>
          <w:sz w:val="20"/>
          <w:szCs w:val="20"/>
        </w:rPr>
      </w:pPr>
      <w:r>
        <w:rPr>
          <w:rFonts w:ascii="Calibri" w:hAnsi="Calibri"/>
          <w:sz w:val="20"/>
          <w:szCs w:val="20"/>
        </w:rPr>
      </w:r>
    </w:p>
    <w:p>
      <w:pPr>
        <w:pStyle w:val="ListParagraph"/>
        <w:ind w:left="0" w:right="0" w:hanging="0"/>
        <w:rPr>
          <w:rFonts w:ascii="Calibri" w:hAnsi="Calibri"/>
          <w:sz w:val="20"/>
          <w:szCs w:val="20"/>
        </w:rPr>
      </w:pPr>
      <w:r>
        <w:rPr>
          <w:rFonts w:ascii="Calibri" w:hAnsi="Calibri"/>
          <w:b/>
          <w:sz w:val="20"/>
          <w:szCs w:val="20"/>
        </w:rPr>
        <w:t xml:space="preserve">1. REQUISITI PER L’AMMISSIONE </w:t>
      </w:r>
    </w:p>
    <w:p>
      <w:pPr>
        <w:pStyle w:val="ListParagraph"/>
        <w:ind w:left="0" w:right="0" w:hanging="0"/>
        <w:rPr>
          <w:rFonts w:ascii="Calibri" w:hAnsi="Calibri"/>
          <w:sz w:val="20"/>
          <w:szCs w:val="20"/>
        </w:rPr>
      </w:pPr>
      <w:r>
        <w:rPr>
          <w:rFonts w:ascii="Calibri" w:hAnsi="Calibri"/>
          <w:sz w:val="20"/>
          <w:szCs w:val="20"/>
        </w:rPr>
      </w:r>
    </w:p>
    <w:p>
      <w:pPr>
        <w:pStyle w:val="ListParagraph"/>
        <w:numPr>
          <w:ilvl w:val="0"/>
          <w:numId w:val="1"/>
        </w:numPr>
        <w:jc w:val="both"/>
        <w:rPr>
          <w:rFonts w:ascii="Calibri" w:hAnsi="Calibri" w:eastAsia="Times New Roman" w:cs="Times New Roman"/>
          <w:color w:val="auto"/>
          <w:kern w:val="0"/>
          <w:sz w:val="20"/>
          <w:szCs w:val="20"/>
          <w:lang w:val="it-IT" w:eastAsia="it-IT" w:bidi="ar-SA"/>
        </w:rPr>
      </w:pPr>
      <w:r>
        <w:rPr>
          <w:rFonts w:eastAsia="Times New Roman" w:cs="Times New Roman" w:ascii="Calibri" w:hAnsi="Calibri"/>
          <w:color w:val="auto"/>
          <w:kern w:val="0"/>
          <w:sz w:val="20"/>
          <w:szCs w:val="20"/>
          <w:lang w:val="it-IT" w:eastAsia="it-IT" w:bidi="ar-SA"/>
        </w:rPr>
        <w:t xml:space="preserve">Concorrono alla selezione per l'attribuzione della posizione economica superiore tutti i dipendenti con rapporto di lavoro a tempo indeterminato in servizio presso l’Ente alla data 1° Gennaio 2022, che abbiano maturato un’anzianità di servizio di </w:t>
      </w:r>
      <w:r>
        <w:rPr>
          <w:rFonts w:eastAsia="Times New Roman" w:cs="Times New Roman" w:ascii="Calibri" w:hAnsi="Calibri"/>
          <w:b/>
          <w:bCs/>
          <w:color w:val="auto"/>
          <w:kern w:val="0"/>
          <w:sz w:val="20"/>
          <w:szCs w:val="20"/>
          <w:lang w:val="it-IT" w:eastAsia="it-IT" w:bidi="ar-SA"/>
        </w:rPr>
        <w:t>almeno 24 MESI,</w:t>
      </w:r>
      <w:r>
        <w:rPr>
          <w:rFonts w:eastAsia="Times New Roman" w:cs="Times New Roman" w:ascii="Calibri" w:hAnsi="Calibri"/>
          <w:color w:val="auto"/>
          <w:kern w:val="0"/>
          <w:sz w:val="20"/>
          <w:szCs w:val="20"/>
          <w:lang w:val="it-IT" w:eastAsia="it-IT" w:bidi="ar-SA"/>
        </w:rPr>
        <w:t xml:space="preserve"> riconosciuta nella posizione economica immediatamente inferiore a quella per cui si concorre, calcolata al 31 dicembre 2021 (CDI 2022).</w:t>
      </w:r>
    </w:p>
    <w:p>
      <w:pPr>
        <w:pStyle w:val="ListParagraph"/>
        <w:numPr>
          <w:ilvl w:val="0"/>
          <w:numId w:val="1"/>
        </w:numPr>
        <w:jc w:val="both"/>
        <w:rPr>
          <w:rFonts w:ascii="Calibri" w:hAnsi="Calibri" w:eastAsia="Times New Roman" w:cs="Times New Roman"/>
          <w:color w:val="auto"/>
          <w:kern w:val="0"/>
          <w:sz w:val="20"/>
          <w:szCs w:val="20"/>
          <w:lang w:val="it-IT" w:eastAsia="it-IT" w:bidi="ar-SA"/>
        </w:rPr>
      </w:pPr>
      <w:r>
        <w:rPr>
          <w:rFonts w:eastAsia="Times New Roman" w:cs="Times New Roman" w:ascii="Calibri" w:hAnsi="Calibri"/>
          <w:color w:val="auto"/>
          <w:kern w:val="0"/>
          <w:sz w:val="20"/>
          <w:szCs w:val="20"/>
          <w:lang w:val="it-IT" w:eastAsia="it-IT" w:bidi="ar-SA"/>
        </w:rPr>
        <w:t>Il personale, in comando o distacco presso altro Ente, può partecipare alle selezioni per le progressioni economiche orizzontali secondo le procedure previste dal Regolamento PEO;</w:t>
      </w:r>
    </w:p>
    <w:p>
      <w:pPr>
        <w:pStyle w:val="ListParagraph"/>
        <w:numPr>
          <w:ilvl w:val="0"/>
          <w:numId w:val="1"/>
        </w:numPr>
        <w:jc w:val="both"/>
        <w:rPr>
          <w:rFonts w:ascii="Calibri" w:hAnsi="Calibri" w:eastAsia="Times New Roman" w:cs="Times New Roman"/>
          <w:color w:val="auto"/>
          <w:kern w:val="0"/>
          <w:sz w:val="20"/>
          <w:szCs w:val="20"/>
          <w:lang w:val="it-IT" w:eastAsia="it-IT" w:bidi="ar-SA"/>
        </w:rPr>
      </w:pPr>
      <w:r>
        <w:rPr>
          <w:rFonts w:eastAsia="Times New Roman" w:cs="Times New Roman" w:ascii="Calibri" w:hAnsi="Calibri"/>
          <w:color w:val="auto"/>
          <w:kern w:val="0"/>
          <w:sz w:val="20"/>
          <w:szCs w:val="20"/>
          <w:lang w:val="it-IT" w:eastAsia="it-IT" w:bidi="ar-SA"/>
        </w:rPr>
        <w:t>Il personale dipendente collocato in aspettativa sindacale o in distacco sindacale ex L. 300/70 nel periodo interessato potrà partecipare alla procedura selettiva.</w:t>
      </w:r>
    </w:p>
    <w:p>
      <w:pPr>
        <w:pStyle w:val="ListParagraph"/>
        <w:numPr>
          <w:ilvl w:val="0"/>
          <w:numId w:val="1"/>
        </w:numPr>
        <w:jc w:val="both"/>
        <w:rPr>
          <w:rFonts w:ascii="Calibri" w:hAnsi="Calibri" w:eastAsia="Times New Roman" w:cs="Times New Roman"/>
          <w:color w:val="auto"/>
          <w:kern w:val="0"/>
          <w:sz w:val="20"/>
          <w:szCs w:val="20"/>
          <w:lang w:val="it-IT" w:eastAsia="it-IT" w:bidi="ar-SA"/>
        </w:rPr>
      </w:pPr>
      <w:r>
        <w:rPr>
          <w:rFonts w:eastAsia="Times New Roman" w:cs="Times New Roman" w:ascii="Calibri" w:hAnsi="Calibri"/>
          <w:color w:val="auto"/>
          <w:kern w:val="0"/>
          <w:sz w:val="20"/>
          <w:szCs w:val="20"/>
          <w:lang w:val="it-IT" w:eastAsia="it-IT" w:bidi="ar-SA"/>
        </w:rPr>
        <w:t>Alla progressione economica orizzontale non partecipa il personale che nel biennio precedente (2020/2021) all’anno di riferimento per l’indizione delle PEO - anno 2022 - sia incorso in sanzioni disciplinari superiori ad un giorno di sospensione dal servizio e in misure cautelari di sospensione dal servizio, a meno che il procedimento penale pendente non si sia concluso con l’assoluzione almeno in primo grado;</w:t>
      </w:r>
    </w:p>
    <w:p>
      <w:pPr>
        <w:pStyle w:val="Normal"/>
        <w:widowControl/>
        <w:numPr>
          <w:ilvl w:val="0"/>
          <w:numId w:val="0"/>
        </w:numPr>
        <w:suppressAutoHyphens w:val="true"/>
        <w:overflowPunct w:val="true"/>
        <w:bidi w:val="0"/>
        <w:spacing w:lineRule="auto" w:line="240" w:before="0" w:after="0"/>
        <w:ind w:left="340" w:right="0" w:hanging="340"/>
        <w:jc w:val="both"/>
        <w:rPr/>
      </w:pPr>
      <w:r>
        <w:rPr/>
        <w:t xml:space="preserve">5.   </w:t>
      </w:r>
      <w:r>
        <w:rPr>
          <w:rFonts w:eastAsia="Times New Roman" w:cs="Times New Roman" w:ascii="Calibri" w:hAnsi="Calibri"/>
          <w:color w:val="000000"/>
          <w:kern w:val="0"/>
          <w:sz w:val="20"/>
          <w:szCs w:val="20"/>
          <w:lang w:val="it-IT" w:eastAsia="it-IT" w:bidi="ar-SA"/>
        </w:rPr>
        <w:t>Sono esclusi dalla selezione i dipendenti del Comune di Sant’Antioco che alla data del 1 gennaio 2022 risultano posti in aspettativa a seguito del conferimento di incarico dirigenziale ai sensi dell’art. 110 comma 1 TUEL presso altri Enti o presso lo stesso Comune di Sant’Antioco.</w:t>
      </w:r>
    </w:p>
    <w:p>
      <w:pPr>
        <w:pStyle w:val="Normal"/>
        <w:widowControl/>
        <w:numPr>
          <w:ilvl w:val="0"/>
          <w:numId w:val="0"/>
        </w:numPr>
        <w:suppressAutoHyphens w:val="true"/>
        <w:overflowPunct w:val="true"/>
        <w:bidi w:val="0"/>
        <w:spacing w:lineRule="auto" w:line="240" w:before="0" w:after="0"/>
        <w:ind w:left="340" w:right="0" w:hanging="340"/>
        <w:jc w:val="both"/>
        <w:rPr>
          <w:rFonts w:ascii="Calibri" w:hAnsi="Calibri" w:eastAsia="Times New Roman" w:cs="Times New Roman"/>
          <w:color w:val="auto"/>
          <w:kern w:val="0"/>
          <w:sz w:val="20"/>
          <w:szCs w:val="20"/>
          <w:lang w:val="it-IT" w:eastAsia="it-IT" w:bidi="ar-SA"/>
        </w:rPr>
      </w:pPr>
      <w:r>
        <w:rPr>
          <w:rFonts w:eastAsia="Times New Roman" w:cs="Times New Roman" w:ascii="Calibri" w:hAnsi="Calibri"/>
          <w:color w:val="auto"/>
          <w:kern w:val="0"/>
          <w:sz w:val="20"/>
          <w:szCs w:val="20"/>
          <w:lang w:val="it-IT" w:eastAsia="it-IT" w:bidi="ar-SA"/>
        </w:rPr>
      </w:r>
    </w:p>
    <w:p>
      <w:pPr>
        <w:pStyle w:val="Normal"/>
        <w:jc w:val="both"/>
        <w:rPr>
          <w:sz w:val="22"/>
          <w:szCs w:val="22"/>
        </w:rPr>
      </w:pPr>
      <w:r>
        <w:rPr>
          <w:rFonts w:eastAsia="Times New Roman" w:cs="Times New Roman" w:ascii="Calibri" w:hAnsi="Calibri"/>
          <w:b/>
          <w:bCs/>
          <w:color w:val="auto"/>
          <w:kern w:val="0"/>
          <w:sz w:val="22"/>
          <w:szCs w:val="22"/>
          <w:u w:val="single"/>
          <w:lang w:val="it-IT" w:eastAsia="it-IT" w:bidi="ar-SA"/>
        </w:rPr>
        <w:t>Termine di scadenza per la presentazione delle domande di partecipazione alla selezione</w:t>
      </w:r>
      <w:r>
        <w:rPr>
          <w:rFonts w:eastAsia="Times New Roman" w:cs="Times New Roman" w:ascii="Calibri" w:hAnsi="Calibri"/>
          <w:b/>
          <w:bCs/>
          <w:color w:val="000000"/>
          <w:kern w:val="0"/>
          <w:sz w:val="22"/>
          <w:szCs w:val="22"/>
          <w:u w:val="single"/>
          <w:lang w:val="it-IT" w:eastAsia="it-IT" w:bidi="ar-SA"/>
        </w:rPr>
        <w:t xml:space="preserve">: </w:t>
      </w:r>
      <w:r>
        <w:rPr>
          <w:rFonts w:eastAsia="Times New Roman" w:cs="Times New Roman" w:ascii="Calibri" w:hAnsi="Calibri"/>
          <w:b/>
          <w:bCs/>
          <w:color w:val="000000"/>
          <w:kern w:val="0"/>
          <w:sz w:val="22"/>
          <w:szCs w:val="22"/>
          <w:u w:val="single"/>
          <w:lang w:val="it-IT" w:eastAsia="it-IT" w:bidi="ar-SA"/>
        </w:rPr>
        <w:t xml:space="preserve">05 GIUGNO </w:t>
      </w:r>
      <w:r>
        <w:rPr>
          <w:rFonts w:eastAsia="Times New Roman" w:cs="Times New Roman" w:ascii="Calibri" w:hAnsi="Calibri"/>
          <w:b/>
          <w:bCs/>
          <w:color w:val="000000"/>
          <w:kern w:val="0"/>
          <w:sz w:val="22"/>
          <w:szCs w:val="22"/>
          <w:u w:val="single"/>
          <w:lang w:val="it-IT" w:eastAsia="it-IT" w:bidi="ar-SA"/>
        </w:rPr>
        <w:t>2023.</w:t>
      </w:r>
    </w:p>
    <w:p>
      <w:pPr>
        <w:pStyle w:val="Normal"/>
        <w:jc w:val="both"/>
        <w:rPr>
          <w:rFonts w:ascii="Calibri" w:hAnsi="Calibri" w:eastAsia="Times New Roman" w:cs="Times New Roman"/>
          <w:b/>
          <w:b/>
          <w:bCs/>
          <w:color w:val="auto"/>
          <w:kern w:val="0"/>
          <w:sz w:val="20"/>
          <w:szCs w:val="20"/>
          <w:u w:val="single"/>
          <w:lang w:val="it-IT" w:eastAsia="it-IT" w:bidi="ar-SA"/>
        </w:rPr>
      </w:pPr>
      <w:r>
        <w:rPr>
          <w:rFonts w:eastAsia="Times New Roman" w:cs="Times New Roman" w:ascii="Calibri" w:hAnsi="Calibri"/>
          <w:b/>
          <w:bCs/>
          <w:color w:val="auto"/>
          <w:kern w:val="0"/>
          <w:sz w:val="20"/>
          <w:szCs w:val="20"/>
          <w:u w:val="single"/>
          <w:lang w:val="it-IT" w:eastAsia="it-IT" w:bidi="ar-SA"/>
        </w:rPr>
      </w:r>
    </w:p>
    <w:p>
      <w:pPr>
        <w:pStyle w:val="Normal"/>
        <w:jc w:val="both"/>
        <w:rPr>
          <w:rFonts w:ascii="Calibri" w:hAnsi="Calibri" w:eastAsia="Times New Roman" w:cs="Times New Roman"/>
          <w:color w:val="auto"/>
          <w:kern w:val="0"/>
          <w:sz w:val="20"/>
          <w:szCs w:val="20"/>
          <w:lang w:val="it-IT" w:eastAsia="it-IT" w:bidi="ar-SA"/>
        </w:rPr>
      </w:pPr>
      <w:r>
        <w:rPr>
          <w:rFonts w:eastAsia="Times New Roman" w:cs="Times New Roman" w:ascii="Calibri" w:hAnsi="Calibri"/>
          <w:color w:val="auto"/>
          <w:kern w:val="0"/>
          <w:sz w:val="20"/>
          <w:szCs w:val="20"/>
          <w:lang w:val="it-IT" w:eastAsia="it-IT" w:bidi="ar-SA"/>
        </w:rPr>
        <w:t xml:space="preserve">Tali requisiti devono essere posseduti alla data di scadenza del termine stabilito nel presente bando per la presentazione delle domande di partecipazione alla selezione, </w:t>
      </w:r>
      <w:r>
        <w:rPr>
          <w:rFonts w:eastAsia="Times New Roman" w:cs="Calibri" w:ascii="Calibri" w:hAnsi="Calibri"/>
          <w:color w:val="auto"/>
          <w:kern w:val="0"/>
          <w:sz w:val="18"/>
          <w:szCs w:val="18"/>
          <w:lang w:val="it-IT" w:eastAsia="it-IT" w:bidi="ar-SA"/>
        </w:rPr>
        <w:t xml:space="preserve"> </w:t>
      </w:r>
      <w:r>
        <w:rPr>
          <w:rFonts w:eastAsia="Times New Roman" w:cs="Times New Roman" w:ascii="Calibri" w:hAnsi="Calibri"/>
          <w:color w:val="auto"/>
          <w:kern w:val="0"/>
          <w:sz w:val="20"/>
          <w:szCs w:val="20"/>
          <w:lang w:val="it-IT" w:eastAsia="it-IT" w:bidi="ar-SA"/>
        </w:rPr>
        <w:t>pena l’esclusione della stessa.</w:t>
      </w:r>
    </w:p>
    <w:p>
      <w:pPr>
        <w:pStyle w:val="Normal"/>
        <w:jc w:val="both"/>
        <w:rPr>
          <w:rFonts w:ascii="Calibri" w:hAnsi="Calibri" w:eastAsia="Times New Roman" w:cs="Times New Roman"/>
          <w:color w:val="auto"/>
          <w:kern w:val="0"/>
          <w:sz w:val="20"/>
          <w:szCs w:val="20"/>
          <w:lang w:val="it-IT" w:eastAsia="it-IT" w:bidi="ar-SA"/>
        </w:rPr>
      </w:pPr>
      <w:r>
        <w:rPr>
          <w:rFonts w:eastAsia="Times New Roman" w:cs="Times New Roman" w:ascii="Calibri" w:hAnsi="Calibri"/>
          <w:color w:val="auto"/>
          <w:kern w:val="0"/>
          <w:sz w:val="20"/>
          <w:szCs w:val="20"/>
          <w:lang w:val="it-IT" w:eastAsia="it-IT" w:bidi="ar-SA"/>
        </w:rPr>
        <w:t>Resta ferma la facoltà per l'ente di disporre, in qualsiasi momento, l'esclusione dalla selezione, per difetto dei prescritti requisiti ovvero per la mancata o incompleta presentazione della documentazione prevista.</w:t>
      </w:r>
    </w:p>
    <w:p>
      <w:pPr>
        <w:pStyle w:val="Normal"/>
        <w:jc w:val="both"/>
        <w:rPr>
          <w:rFonts w:ascii="Calibri" w:hAnsi="Calibri" w:eastAsia="Times New Roman" w:cs="Times New Roman"/>
          <w:color w:val="auto"/>
          <w:kern w:val="0"/>
          <w:sz w:val="20"/>
          <w:szCs w:val="20"/>
          <w:lang w:val="it-IT" w:eastAsia="it-IT" w:bidi="ar-SA"/>
        </w:rPr>
      </w:pPr>
      <w:r>
        <w:rPr>
          <w:rFonts w:eastAsia="Times New Roman" w:cs="Times New Roman" w:ascii="Calibri" w:hAnsi="Calibri"/>
          <w:color w:val="auto"/>
          <w:kern w:val="0"/>
          <w:sz w:val="20"/>
          <w:szCs w:val="20"/>
          <w:lang w:val="it-IT" w:eastAsia="it-IT" w:bidi="ar-SA"/>
        </w:rPr>
        <w:t>Ferme restando le sanzioni penali previste dall'art. 76 del D.P.R. 445/2000, qualora dai controlli emerga la non veridicità della dichiarazione resa dal candidato, il medesimo decade dai benefici eventualmente conseguenti al provvedimento emanato sulla base della dichiarazione non veritiera (art. 75 D.P.R. 445/2000).</w:t>
      </w:r>
    </w:p>
    <w:p>
      <w:pPr>
        <w:pStyle w:val="Normal"/>
        <w:jc w:val="both"/>
        <w:rPr>
          <w:rFonts w:ascii="Calibri" w:hAnsi="Calibri" w:eastAsia="Times New Roman" w:cs="Times New Roman"/>
          <w:color w:val="auto"/>
          <w:kern w:val="0"/>
          <w:sz w:val="20"/>
          <w:szCs w:val="20"/>
          <w:lang w:val="it-IT" w:eastAsia="it-IT" w:bidi="ar-SA"/>
        </w:rPr>
      </w:pPr>
      <w:r>
        <w:rPr>
          <w:rFonts w:eastAsia="Times New Roman" w:cs="Times New Roman" w:ascii="Calibri" w:hAnsi="Calibri"/>
          <w:color w:val="auto"/>
          <w:kern w:val="0"/>
          <w:sz w:val="20"/>
          <w:szCs w:val="20"/>
          <w:lang w:val="it-IT" w:eastAsia="it-IT" w:bidi="ar-SA"/>
        </w:rPr>
      </w:r>
    </w:p>
    <w:p>
      <w:pPr>
        <w:pStyle w:val="Normal"/>
        <w:jc w:val="both"/>
        <w:rPr>
          <w:rFonts w:ascii="Calibri" w:hAnsi="Calibri" w:eastAsia="Times New Roman" w:cs="Times New Roman"/>
          <w:b/>
          <w:b/>
          <w:bCs/>
          <w:color w:val="auto"/>
          <w:kern w:val="0"/>
          <w:sz w:val="20"/>
          <w:szCs w:val="20"/>
          <w:lang w:val="it-IT" w:eastAsia="it-IT" w:bidi="ar-SA"/>
        </w:rPr>
      </w:pPr>
      <w:r>
        <w:rPr>
          <w:rFonts w:eastAsia="Times New Roman" w:cs="Times New Roman" w:ascii="Calibri" w:hAnsi="Calibri"/>
          <w:b/>
          <w:bCs/>
          <w:color w:val="auto"/>
          <w:kern w:val="0"/>
          <w:sz w:val="20"/>
          <w:szCs w:val="20"/>
          <w:lang w:val="it-IT" w:eastAsia="it-IT" w:bidi="ar-SA"/>
        </w:rPr>
        <w:t>2. ESCLUSIONE DALLA SELEZIONE</w:t>
      </w:r>
    </w:p>
    <w:p>
      <w:pPr>
        <w:pStyle w:val="Normal"/>
        <w:jc w:val="both"/>
        <w:rPr>
          <w:rFonts w:ascii="Calibri" w:hAnsi="Calibri" w:eastAsia="Times New Roman" w:cs="Times New Roman"/>
          <w:color w:val="auto"/>
          <w:kern w:val="0"/>
          <w:sz w:val="20"/>
          <w:szCs w:val="20"/>
          <w:lang w:val="it-IT" w:eastAsia="it-IT" w:bidi="ar-SA"/>
        </w:rPr>
      </w:pPr>
      <w:r>
        <w:rPr>
          <w:rFonts w:eastAsia="Times New Roman" w:cs="Times New Roman" w:ascii="Calibri" w:hAnsi="Calibri"/>
          <w:color w:val="auto"/>
          <w:kern w:val="0"/>
          <w:sz w:val="20"/>
          <w:szCs w:val="20"/>
          <w:lang w:val="it-IT" w:eastAsia="it-IT" w:bidi="ar-SA"/>
        </w:rPr>
        <w:t>L’ammissione e l’esclusione dalla selezione è disposta, con provvedimento motivato, dal Responsabile del Servizio del Personale o in sua sostituzione da altro Responsabile di Servizio.</w:t>
      </w:r>
    </w:p>
    <w:p>
      <w:pPr>
        <w:pStyle w:val="Normal"/>
        <w:jc w:val="both"/>
        <w:rPr/>
      </w:pPr>
      <w:r>
        <w:rPr>
          <w:rFonts w:eastAsia="Times New Roman" w:cs="Times New Roman" w:ascii="Calibri" w:hAnsi="Calibri"/>
          <w:color w:val="auto"/>
          <w:kern w:val="0"/>
          <w:sz w:val="20"/>
          <w:szCs w:val="20"/>
          <w:lang w:val="it-IT" w:eastAsia="it-IT" w:bidi="ar-SA"/>
        </w:rPr>
        <w:t>L’esclusione dalla selezione per mancanza dei requisiti richiesti, per presentazione della domanda oltre i termini previsti o per altre motivazioni da indicarsi nel bando di selezione viene comunque comunicata tempestivamente direttamente ai dipendenti interessati mediante notifica personale nella sede di lavoro se presenti in servizio, ovvero in caso di assenza mediante raccomandata con ricevuta di ritorno inviata all’indirizzo di residenza ovvero tramite Pec.</w:t>
      </w:r>
    </w:p>
    <w:p>
      <w:pPr>
        <w:pStyle w:val="Normal"/>
        <w:jc w:val="both"/>
        <w:rPr/>
      </w:pPr>
      <w:r>
        <w:rPr>
          <w:rFonts w:eastAsia="Times New Roman" w:cs="Times New Roman" w:ascii="Calibri" w:hAnsi="Calibri"/>
          <w:color w:val="auto"/>
          <w:kern w:val="0"/>
          <w:sz w:val="20"/>
          <w:szCs w:val="20"/>
          <w:lang w:val="it-IT" w:eastAsia="it-IT" w:bidi="ar-SA"/>
        </w:rPr>
        <w:t>Entro cinque giorni dall’adozione del provvedimento di esclusione il dipendente potrà presentare istanza di riesame al Segretario Generale, il quale dovrà decidere entro cinque giorni dal ricevimento dell’istanza.</w:t>
      </w:r>
    </w:p>
    <w:p>
      <w:pPr>
        <w:pStyle w:val="Normal"/>
        <w:jc w:val="both"/>
        <w:rPr>
          <w:rFonts w:ascii="Calibri" w:hAnsi="Calibri" w:eastAsia="Times New Roman" w:cs="Times New Roman"/>
          <w:color w:val="auto"/>
          <w:kern w:val="0"/>
          <w:sz w:val="20"/>
          <w:szCs w:val="20"/>
          <w:lang w:val="it-IT" w:eastAsia="it-IT" w:bidi="ar-SA"/>
        </w:rPr>
      </w:pPr>
      <w:r>
        <w:rPr>
          <w:rFonts w:eastAsia="Times New Roman" w:cs="Times New Roman" w:ascii="Calibri" w:hAnsi="Calibri"/>
          <w:color w:val="auto"/>
          <w:kern w:val="0"/>
          <w:sz w:val="20"/>
          <w:szCs w:val="20"/>
          <w:lang w:val="it-IT" w:eastAsia="it-IT" w:bidi="ar-SA"/>
        </w:rPr>
      </w:r>
    </w:p>
    <w:p>
      <w:pPr>
        <w:pStyle w:val="Normal"/>
        <w:jc w:val="both"/>
        <w:rPr>
          <w:rFonts w:ascii="Calibri" w:hAnsi="Calibri" w:eastAsia="Times New Roman" w:cs="Times New Roman"/>
          <w:color w:val="auto"/>
          <w:kern w:val="0"/>
          <w:sz w:val="20"/>
          <w:szCs w:val="20"/>
          <w:lang w:val="it-IT" w:eastAsia="it-IT" w:bidi="ar-SA"/>
        </w:rPr>
      </w:pPr>
      <w:r>
        <w:rPr>
          <w:rFonts w:eastAsia="Times New Roman" w:cs="Times New Roman" w:ascii="Calibri" w:hAnsi="Calibri"/>
          <w:b/>
          <w:color w:val="auto"/>
          <w:kern w:val="0"/>
          <w:sz w:val="20"/>
          <w:szCs w:val="20"/>
          <w:lang w:val="it-IT" w:eastAsia="it-IT" w:bidi="ar-SA"/>
        </w:rPr>
        <w:t>3. COMMISSIONE ESAMINATRICE</w:t>
      </w:r>
    </w:p>
    <w:p>
      <w:pPr>
        <w:pStyle w:val="Normal"/>
        <w:numPr>
          <w:ilvl w:val="0"/>
          <w:numId w:val="9"/>
        </w:numPr>
        <w:jc w:val="both"/>
        <w:rPr/>
      </w:pPr>
      <w:r>
        <w:rPr>
          <w:rFonts w:eastAsia="Times New Roman" w:cs="Times New Roman" w:ascii="Calibri" w:hAnsi="Calibri"/>
          <w:color w:val="auto"/>
          <w:kern w:val="0"/>
          <w:sz w:val="20"/>
          <w:szCs w:val="20"/>
          <w:lang w:val="it-IT" w:eastAsia="it-IT" w:bidi="ar-SA"/>
        </w:rPr>
        <w:t>La commissione esaminatrice è nominata con propria determinazione del Responsabile del Servizio Personale o in caso di assenza, impedimento o in caso di conflitto di interessi, da un suo sostituto.</w:t>
      </w:r>
    </w:p>
    <w:p>
      <w:pPr>
        <w:pStyle w:val="Normal"/>
        <w:numPr>
          <w:ilvl w:val="0"/>
          <w:numId w:val="9"/>
        </w:numPr>
        <w:jc w:val="both"/>
        <w:rPr/>
      </w:pPr>
      <w:r>
        <w:rPr>
          <w:rFonts w:eastAsia="Times New Roman" w:cs="Times New Roman" w:ascii="Calibri" w:hAnsi="Calibri"/>
          <w:color w:val="auto"/>
          <w:kern w:val="0"/>
          <w:sz w:val="20"/>
          <w:szCs w:val="20"/>
          <w:lang w:val="it-IT" w:eastAsia="it-IT" w:bidi="ar-SA"/>
        </w:rPr>
        <w:t>La commissione esaminatrice è composta da un Responsabile di Servizio ovvero da un dipendente inquadrato nel profilo professionale di Istruttore Direttivo di categoria non inferiore alla D in qualità di Presidente e da due componenti scelti fra il personale interno dell’Ente non avente diritto alla partecipazione alle progressioni, o che non abbia presentato domanda di partecipazione, ovvero da componenti esterni.</w:t>
      </w:r>
    </w:p>
    <w:p>
      <w:pPr>
        <w:pStyle w:val="Normal"/>
        <w:numPr>
          <w:ilvl w:val="0"/>
          <w:numId w:val="9"/>
        </w:numPr>
        <w:jc w:val="both"/>
        <w:rPr/>
      </w:pPr>
      <w:r>
        <w:rPr>
          <w:rFonts w:eastAsia="Times New Roman" w:cs="Times New Roman" w:ascii="Calibri" w:hAnsi="Calibri"/>
          <w:color w:val="auto"/>
          <w:kern w:val="0"/>
          <w:sz w:val="20"/>
          <w:szCs w:val="20"/>
          <w:lang w:val="it-IT" w:eastAsia="it-IT" w:bidi="ar-SA"/>
        </w:rPr>
        <w:t>Le funzioni di segretario verbalizzante sono svolte da un dipendente ovvero possono essere attribuite ad un componente della stessa Commissione.</w:t>
      </w:r>
    </w:p>
    <w:p>
      <w:pPr>
        <w:pStyle w:val="Normal"/>
        <w:numPr>
          <w:ilvl w:val="0"/>
          <w:numId w:val="9"/>
        </w:numPr>
        <w:jc w:val="both"/>
        <w:rPr/>
      </w:pPr>
      <w:r>
        <w:rPr>
          <w:rFonts w:eastAsia="Times New Roman" w:cs="Times New Roman" w:ascii="Calibri" w:hAnsi="Calibri"/>
          <w:color w:val="auto"/>
          <w:kern w:val="0"/>
          <w:sz w:val="20"/>
          <w:szCs w:val="20"/>
          <w:lang w:val="it-IT" w:eastAsia="it-IT" w:bidi="ar-SA"/>
        </w:rPr>
        <w:t xml:space="preserve">La commissione deve essere costituita nel rispetto delle pari opportunità, salvo impossibilità da motivarsi nel provvedimento di nomina. </w:t>
      </w:r>
    </w:p>
    <w:p>
      <w:pPr>
        <w:pStyle w:val="Normal"/>
        <w:numPr>
          <w:ilvl w:val="0"/>
          <w:numId w:val="9"/>
        </w:numPr>
        <w:jc w:val="both"/>
        <w:rPr/>
      </w:pPr>
      <w:r>
        <w:rPr>
          <w:rFonts w:eastAsia="Times New Roman" w:cs="Times New Roman" w:ascii="Calibri" w:hAnsi="Calibri"/>
          <w:color w:val="auto"/>
          <w:kern w:val="0"/>
          <w:sz w:val="20"/>
          <w:szCs w:val="20"/>
          <w:lang w:val="it-IT" w:eastAsia="it-IT" w:bidi="ar-SA"/>
        </w:rPr>
        <w:t>La Commissione valuterà i titoli posseduti dai dipendenti concorrenti alla progressione sulla base dei punteggi attribuiti ai criteri stabiliti nel presente Bando di selezione, nel Regolamento PEO, e nei CDI.</w:t>
      </w:r>
    </w:p>
    <w:p>
      <w:pPr>
        <w:pStyle w:val="Normal"/>
        <w:numPr>
          <w:ilvl w:val="0"/>
          <w:numId w:val="9"/>
        </w:numPr>
        <w:jc w:val="both"/>
        <w:rPr/>
      </w:pPr>
      <w:r>
        <w:rPr>
          <w:rFonts w:eastAsia="Times New Roman" w:cs="Times New Roman" w:ascii="Calibri" w:hAnsi="Calibri"/>
          <w:color w:val="auto"/>
          <w:kern w:val="0"/>
          <w:sz w:val="20"/>
          <w:szCs w:val="20"/>
          <w:lang w:val="it-IT" w:eastAsia="it-IT" w:bidi="ar-SA"/>
        </w:rPr>
        <w:t>Completate le operazione di valutazione dei titoli, la Commissione trasmette tutta la documentazione al competente Responsabile di Servizio, per l’approvazione degli atti della stessa Commissione esaminatrice e per la succ</w:t>
      </w:r>
      <w:r>
        <w:rPr>
          <w:rFonts w:eastAsia="Times New Roman" w:cs="Times New Roman" w:ascii="Calibri" w:hAnsi="Calibri"/>
          <w:b w:val="false"/>
          <w:bCs w:val="false"/>
          <w:color w:val="auto"/>
          <w:kern w:val="0"/>
          <w:sz w:val="20"/>
          <w:szCs w:val="20"/>
          <w:lang w:val="it-IT" w:eastAsia="it-IT" w:bidi="ar-SA"/>
        </w:rPr>
        <w:t>essiva pubblicazione delle graduatorie.</w:t>
      </w:r>
    </w:p>
    <w:p>
      <w:pPr>
        <w:pStyle w:val="Normal"/>
        <w:numPr>
          <w:ilvl w:val="0"/>
          <w:numId w:val="0"/>
        </w:numPr>
        <w:ind w:left="720" w:hanging="0"/>
        <w:jc w:val="both"/>
        <w:rPr>
          <w:rFonts w:ascii="Calibri" w:hAnsi="Calibri"/>
          <w:b/>
          <w:b/>
          <w:sz w:val="20"/>
          <w:szCs w:val="20"/>
        </w:rPr>
      </w:pPr>
      <w:r>
        <w:rPr>
          <w:rFonts w:ascii="Calibri" w:hAnsi="Calibri"/>
          <w:b/>
          <w:sz w:val="20"/>
          <w:szCs w:val="20"/>
        </w:rPr>
      </w:r>
    </w:p>
    <w:p>
      <w:pPr>
        <w:pStyle w:val="Normal"/>
        <w:jc w:val="both"/>
        <w:rPr>
          <w:rFonts w:ascii="Calibri" w:hAnsi="Calibri"/>
          <w:sz w:val="20"/>
          <w:szCs w:val="20"/>
        </w:rPr>
      </w:pPr>
      <w:r>
        <w:rPr>
          <w:rFonts w:ascii="Calibri" w:hAnsi="Calibri"/>
          <w:b/>
          <w:sz w:val="20"/>
          <w:szCs w:val="20"/>
        </w:rPr>
        <w:t xml:space="preserve">4. SVOLGIMENTO DELLE SELEZIONI </w:t>
      </w:r>
    </w:p>
    <w:p>
      <w:pPr>
        <w:pStyle w:val="Normal"/>
        <w:jc w:val="both"/>
        <w:rPr>
          <w:rFonts w:ascii="Calibri" w:hAnsi="Calibri"/>
          <w:sz w:val="20"/>
          <w:szCs w:val="20"/>
        </w:rPr>
      </w:pPr>
      <w:r>
        <w:rPr>
          <w:rFonts w:ascii="Calibri" w:hAnsi="Calibri"/>
          <w:sz w:val="20"/>
          <w:szCs w:val="20"/>
        </w:rPr>
        <w:t xml:space="preserve">L'attribuzione delle progressioni orizzontali avverrà attraverso la predisposizione di una graduatoria suddivisa per ciascuna categoria giuridica (A, B , C e D) realizzata a seguito della valutazione dei dipendenti aventi diritto. </w:t>
      </w:r>
    </w:p>
    <w:p>
      <w:pPr>
        <w:pStyle w:val="Normal"/>
        <w:jc w:val="both"/>
        <w:rPr>
          <w:rFonts w:ascii="Calibri" w:hAnsi="Calibri"/>
          <w:sz w:val="20"/>
          <w:szCs w:val="20"/>
        </w:rPr>
      </w:pPr>
      <w:r>
        <w:rPr>
          <w:rFonts w:ascii="Calibri" w:hAnsi="Calibri"/>
          <w:sz w:val="20"/>
          <w:szCs w:val="20"/>
        </w:rPr>
        <w:t>Per la valutazione verranno utilizzati i parametri così come riportati all’Art. 7 – CRITERI DI VALUTAZIONE del Regolamento.</w:t>
      </w:r>
    </w:p>
    <w:p>
      <w:pPr>
        <w:pStyle w:val="Normal"/>
        <w:jc w:val="both"/>
        <w:rPr>
          <w:rFonts w:ascii="Calibri" w:hAnsi="Calibri"/>
          <w:sz w:val="20"/>
          <w:szCs w:val="20"/>
        </w:rPr>
      </w:pPr>
      <w:r>
        <w:rPr>
          <w:rFonts w:ascii="Calibri" w:hAnsi="Calibri"/>
          <w:sz w:val="20"/>
          <w:szCs w:val="20"/>
        </w:rPr>
        <w:t>Per i passaggi all’interno delle categorie sono utilizzati, i seguenti indicatori di selezione:</w:t>
      </w:r>
    </w:p>
    <w:p>
      <w:pPr>
        <w:pStyle w:val="Normal"/>
        <w:ind w:left="708" w:right="0" w:hanging="0"/>
        <w:jc w:val="both"/>
        <w:rPr>
          <w:rFonts w:ascii="Calibri" w:hAnsi="Calibri"/>
          <w:sz w:val="20"/>
          <w:szCs w:val="20"/>
        </w:rPr>
      </w:pPr>
      <w:r>
        <w:rPr>
          <w:rFonts w:ascii="Calibri" w:hAnsi="Calibri"/>
          <w:sz w:val="20"/>
          <w:szCs w:val="20"/>
        </w:rPr>
        <w:t>A) Arricchimento professionale;</w:t>
      </w:r>
    </w:p>
    <w:p>
      <w:pPr>
        <w:pStyle w:val="Normal"/>
        <w:ind w:left="708" w:right="0" w:hanging="0"/>
        <w:jc w:val="both"/>
        <w:rPr>
          <w:rFonts w:ascii="Calibri" w:hAnsi="Calibri"/>
          <w:sz w:val="20"/>
          <w:szCs w:val="20"/>
        </w:rPr>
      </w:pPr>
      <w:r>
        <w:rPr>
          <w:rFonts w:ascii="Calibri" w:hAnsi="Calibri"/>
          <w:sz w:val="20"/>
          <w:szCs w:val="20"/>
        </w:rPr>
        <w:t>B) Titoli culturali e professionali;</w:t>
      </w:r>
    </w:p>
    <w:p>
      <w:pPr>
        <w:pStyle w:val="Normal"/>
        <w:ind w:left="708" w:right="0" w:hanging="0"/>
        <w:jc w:val="both"/>
        <w:rPr>
          <w:rFonts w:ascii="Calibri" w:hAnsi="Calibri"/>
          <w:sz w:val="20"/>
          <w:szCs w:val="20"/>
        </w:rPr>
      </w:pPr>
      <w:r>
        <w:rPr>
          <w:rFonts w:ascii="Calibri" w:hAnsi="Calibri"/>
          <w:sz w:val="20"/>
          <w:szCs w:val="20"/>
        </w:rPr>
        <w:t>C) Formazione certificata e pertinente;</w:t>
      </w:r>
    </w:p>
    <w:p>
      <w:pPr>
        <w:pStyle w:val="Normal"/>
        <w:ind w:left="708" w:right="0" w:hanging="0"/>
        <w:jc w:val="both"/>
        <w:rPr>
          <w:rFonts w:ascii="Calibri" w:hAnsi="Calibri"/>
          <w:sz w:val="20"/>
          <w:szCs w:val="20"/>
        </w:rPr>
      </w:pPr>
      <w:r>
        <w:rPr>
          <w:rFonts w:ascii="Calibri" w:hAnsi="Calibri"/>
          <w:sz w:val="20"/>
          <w:szCs w:val="20"/>
        </w:rPr>
        <w:t>D) Qualità delle prestazioni individuali;</w:t>
      </w:r>
    </w:p>
    <w:p>
      <w:pPr>
        <w:pStyle w:val="Normal"/>
        <w:ind w:left="708" w:right="0" w:hanging="0"/>
        <w:jc w:val="both"/>
        <w:rPr>
          <w:rFonts w:ascii="Calibri" w:hAnsi="Calibri"/>
          <w:sz w:val="20"/>
          <w:szCs w:val="20"/>
        </w:rPr>
      </w:pPr>
      <w:r>
        <w:rPr>
          <w:rFonts w:ascii="Calibri" w:hAnsi="Calibri"/>
          <w:sz w:val="20"/>
          <w:szCs w:val="20"/>
        </w:rPr>
        <w:t>E) Esperienza lavorativa acquisita</w:t>
      </w:r>
    </w:p>
    <w:p>
      <w:pPr>
        <w:pStyle w:val="Normal"/>
        <w:jc w:val="both"/>
        <w:rPr>
          <w:rFonts w:ascii="Calibri" w:hAnsi="Calibri"/>
          <w:sz w:val="20"/>
          <w:szCs w:val="20"/>
        </w:rPr>
      </w:pPr>
      <w:r>
        <w:rPr>
          <w:rFonts w:ascii="Calibri" w:hAnsi="Calibri"/>
          <w:sz w:val="20"/>
          <w:szCs w:val="20"/>
        </w:rPr>
        <w:t>Rispetto al punteggio complessivo di 100 punti, agli indicatori definiti nel comma 1 dell’art. 7 vengono riservati i seguenti punteggi massimi:</w:t>
      </w:r>
    </w:p>
    <w:p>
      <w:pPr>
        <w:pStyle w:val="Normal"/>
        <w:jc w:val="both"/>
        <w:rPr>
          <w:rFonts w:ascii="Calibri" w:hAnsi="Calibri"/>
          <w:sz w:val="20"/>
          <w:szCs w:val="20"/>
        </w:rPr>
      </w:pPr>
      <w:r>
        <w:rPr>
          <w:rFonts w:ascii="Calibri" w:hAnsi="Calibri"/>
          <w:sz w:val="20"/>
          <w:szCs w:val="20"/>
        </w:rPr>
      </w:r>
    </w:p>
    <w:p>
      <w:pPr>
        <w:pStyle w:val="Normal"/>
        <w:jc w:val="both"/>
        <w:rPr>
          <w:rFonts w:ascii="Calibri" w:hAnsi="Calibri"/>
          <w:sz w:val="20"/>
          <w:szCs w:val="20"/>
        </w:rPr>
      </w:pPr>
      <w:r>
        <w:rPr>
          <w:rFonts w:ascii="Calibri" w:hAnsi="Calibri"/>
          <w:sz w:val="20"/>
          <w:szCs w:val="20"/>
        </w:rPr>
      </w:r>
    </w:p>
    <w:p>
      <w:pPr>
        <w:pStyle w:val="Normal"/>
        <w:jc w:val="both"/>
        <w:rPr>
          <w:rFonts w:ascii="Calibri" w:hAnsi="Calibri"/>
          <w:sz w:val="20"/>
          <w:szCs w:val="20"/>
        </w:rPr>
      </w:pPr>
      <w:r>
        <w:rPr>
          <w:rFonts w:ascii="Calibri" w:hAnsi="Calibri"/>
          <w:sz w:val="20"/>
          <w:szCs w:val="20"/>
        </w:rPr>
      </w:r>
    </w:p>
    <w:tbl>
      <w:tblPr>
        <w:tblW w:w="6403" w:type="dxa"/>
        <w:jc w:val="left"/>
        <w:tblInd w:w="570" w:type="dxa"/>
        <w:tblCellMar>
          <w:top w:w="0" w:type="dxa"/>
          <w:left w:w="50" w:type="dxa"/>
          <w:bottom w:w="0" w:type="dxa"/>
          <w:right w:w="70" w:type="dxa"/>
        </w:tblCellMar>
      </w:tblPr>
      <w:tblGrid>
        <w:gridCol w:w="2714"/>
        <w:gridCol w:w="1077"/>
        <w:gridCol w:w="965"/>
        <w:gridCol w:w="797"/>
        <w:gridCol w:w="850"/>
      </w:tblGrid>
      <w:tr>
        <w:trPr>
          <w:trHeight w:val="315" w:hRule="atLeast"/>
        </w:trPr>
        <w:tc>
          <w:tcPr>
            <w:tcW w:w="2714" w:type="dxa"/>
            <w:tcBorders>
              <w:top w:val="single" w:sz="8" w:space="0" w:color="000000"/>
              <w:left w:val="single" w:sz="8" w:space="0" w:color="000000"/>
              <w:bottom w:val="single" w:sz="8" w:space="0" w:color="000000"/>
              <w:right w:val="single" w:sz="4" w:space="0" w:color="000000"/>
            </w:tcBorders>
            <w:shd w:fill="D8D8D8" w:val="clear"/>
            <w:vAlign w:val="bottom"/>
          </w:tcPr>
          <w:p>
            <w:pPr>
              <w:pStyle w:val="Normal"/>
              <w:rPr>
                <w:rFonts w:ascii="Calibri" w:hAnsi="Calibri"/>
                <w:sz w:val="14"/>
                <w:szCs w:val="14"/>
              </w:rPr>
            </w:pPr>
            <w:r>
              <w:rPr>
                <w:rFonts w:ascii="Calibri" w:hAnsi="Calibri"/>
                <w:b/>
                <w:bCs/>
                <w:color w:val="000000"/>
                <w:sz w:val="14"/>
                <w:szCs w:val="14"/>
              </w:rPr>
              <w:t xml:space="preserve">CRITERI </w:t>
            </w:r>
          </w:p>
        </w:tc>
        <w:tc>
          <w:tcPr>
            <w:tcW w:w="1077" w:type="dxa"/>
            <w:tcBorders>
              <w:top w:val="single" w:sz="8" w:space="0" w:color="000000"/>
              <w:left w:val="single" w:sz="4" w:space="0" w:color="000000"/>
              <w:bottom w:val="single" w:sz="8" w:space="0" w:color="000000"/>
              <w:right w:val="single" w:sz="4" w:space="0" w:color="000000"/>
            </w:tcBorders>
            <w:shd w:fill="D8D8D8" w:val="clear"/>
            <w:vAlign w:val="bottom"/>
          </w:tcPr>
          <w:p>
            <w:pPr>
              <w:pStyle w:val="Normal"/>
              <w:jc w:val="center"/>
              <w:rPr/>
            </w:pPr>
            <w:r>
              <w:rPr>
                <w:rFonts w:ascii="Calibri" w:hAnsi="Calibri"/>
                <w:b/>
                <w:bCs/>
                <w:color w:val="000000"/>
                <w:sz w:val="14"/>
                <w:szCs w:val="14"/>
              </w:rPr>
              <w:t xml:space="preserve">CAT A </w:t>
            </w:r>
          </w:p>
        </w:tc>
        <w:tc>
          <w:tcPr>
            <w:tcW w:w="965" w:type="dxa"/>
            <w:tcBorders>
              <w:top w:val="single" w:sz="8" w:space="0" w:color="000000"/>
              <w:left w:val="single" w:sz="4" w:space="0" w:color="000000"/>
              <w:bottom w:val="single" w:sz="8" w:space="0" w:color="000000"/>
              <w:right w:val="single" w:sz="4" w:space="0" w:color="000000"/>
            </w:tcBorders>
            <w:shd w:fill="D8D8D8" w:val="clear"/>
            <w:vAlign w:val="bottom"/>
          </w:tcPr>
          <w:p>
            <w:pPr>
              <w:pStyle w:val="Normal"/>
              <w:jc w:val="center"/>
              <w:rPr/>
            </w:pPr>
            <w:r>
              <w:rPr>
                <w:rFonts w:ascii="Calibri" w:hAnsi="Calibri"/>
                <w:b/>
                <w:bCs/>
                <w:color w:val="000000"/>
                <w:sz w:val="14"/>
                <w:szCs w:val="14"/>
              </w:rPr>
              <w:t xml:space="preserve">CAT B </w:t>
            </w:r>
          </w:p>
        </w:tc>
        <w:tc>
          <w:tcPr>
            <w:tcW w:w="797" w:type="dxa"/>
            <w:tcBorders>
              <w:top w:val="single" w:sz="8" w:space="0" w:color="000000"/>
              <w:left w:val="single" w:sz="4" w:space="0" w:color="000000"/>
              <w:bottom w:val="single" w:sz="8" w:space="0" w:color="000000"/>
              <w:right w:val="single" w:sz="4" w:space="0" w:color="000000"/>
            </w:tcBorders>
            <w:shd w:fill="D8D8D8" w:val="clear"/>
            <w:vAlign w:val="bottom"/>
          </w:tcPr>
          <w:p>
            <w:pPr>
              <w:pStyle w:val="Normal"/>
              <w:jc w:val="center"/>
              <w:rPr/>
            </w:pPr>
            <w:r>
              <w:rPr>
                <w:rFonts w:ascii="Calibri" w:hAnsi="Calibri"/>
                <w:b/>
                <w:bCs/>
                <w:color w:val="000000"/>
                <w:sz w:val="14"/>
                <w:szCs w:val="14"/>
              </w:rPr>
              <w:t xml:space="preserve">CAT C </w:t>
            </w:r>
          </w:p>
        </w:tc>
        <w:tc>
          <w:tcPr>
            <w:tcW w:w="850" w:type="dxa"/>
            <w:tcBorders>
              <w:top w:val="single" w:sz="8" w:space="0" w:color="000000"/>
              <w:left w:val="single" w:sz="8" w:space="0" w:color="000000"/>
              <w:bottom w:val="single" w:sz="8" w:space="0" w:color="000000"/>
              <w:right w:val="single" w:sz="8" w:space="0" w:color="000000"/>
            </w:tcBorders>
            <w:shd w:fill="D8D8D8" w:val="clear"/>
            <w:vAlign w:val="bottom"/>
          </w:tcPr>
          <w:p>
            <w:pPr>
              <w:pStyle w:val="Normal"/>
              <w:jc w:val="center"/>
              <w:rPr/>
            </w:pPr>
            <w:r>
              <w:rPr>
                <w:rFonts w:ascii="Calibri" w:hAnsi="Calibri"/>
                <w:b/>
                <w:bCs/>
                <w:color w:val="000000"/>
                <w:sz w:val="14"/>
                <w:szCs w:val="14"/>
              </w:rPr>
              <w:t>CAT D</w:t>
            </w:r>
          </w:p>
        </w:tc>
      </w:tr>
      <w:tr>
        <w:trPr>
          <w:trHeight w:val="300" w:hRule="atLeast"/>
        </w:trPr>
        <w:tc>
          <w:tcPr>
            <w:tcW w:w="2714" w:type="dxa"/>
            <w:tcBorders>
              <w:top w:val="single" w:sz="4" w:space="0" w:color="000000"/>
              <w:left w:val="single" w:sz="8" w:space="0" w:color="000000"/>
              <w:bottom w:val="single" w:sz="4" w:space="0" w:color="000000"/>
              <w:right w:val="single" w:sz="4" w:space="0" w:color="000000"/>
            </w:tcBorders>
            <w:shd w:fill="auto" w:val="clear"/>
            <w:vAlign w:val="bottom"/>
          </w:tcPr>
          <w:p>
            <w:pPr>
              <w:pStyle w:val="Normal"/>
              <w:rPr>
                <w:rFonts w:ascii="Calibri" w:hAnsi="Calibri"/>
                <w:sz w:val="14"/>
                <w:szCs w:val="14"/>
              </w:rPr>
            </w:pPr>
            <w:r>
              <w:rPr>
                <w:rFonts w:ascii="Calibri" w:hAnsi="Calibri"/>
                <w:color w:val="000000"/>
                <w:sz w:val="14"/>
                <w:szCs w:val="14"/>
              </w:rPr>
              <w:t xml:space="preserve">a) Arricchimento professionale </w:t>
            </w:r>
          </w:p>
        </w:tc>
        <w:tc>
          <w:tcPr>
            <w:tcW w:w="1077" w:type="dxa"/>
            <w:tcBorders>
              <w:top w:val="single" w:sz="4" w:space="0" w:color="000000"/>
              <w:left w:val="single" w:sz="4" w:space="0" w:color="000000"/>
              <w:bottom w:val="single" w:sz="4" w:space="0" w:color="000000"/>
              <w:right w:val="single" w:sz="4" w:space="0" w:color="000000"/>
            </w:tcBorders>
            <w:shd w:fill="auto" w:val="clear"/>
            <w:vAlign w:val="bottom"/>
          </w:tcPr>
          <w:p>
            <w:pPr>
              <w:pStyle w:val="Normal"/>
              <w:jc w:val="center"/>
              <w:rPr/>
            </w:pPr>
            <w:r>
              <w:rPr>
                <w:rFonts w:ascii="Calibri" w:hAnsi="Calibri"/>
                <w:color w:val="000000"/>
                <w:sz w:val="14"/>
                <w:szCs w:val="14"/>
              </w:rPr>
              <w:t>10</w:t>
            </w:r>
          </w:p>
        </w:tc>
        <w:tc>
          <w:tcPr>
            <w:tcW w:w="965" w:type="dxa"/>
            <w:tcBorders>
              <w:top w:val="single" w:sz="4" w:space="0" w:color="000000"/>
              <w:left w:val="single" w:sz="4" w:space="0" w:color="000000"/>
              <w:bottom w:val="single" w:sz="4" w:space="0" w:color="000000"/>
              <w:right w:val="single" w:sz="4" w:space="0" w:color="000000"/>
            </w:tcBorders>
            <w:shd w:fill="auto" w:val="clear"/>
            <w:vAlign w:val="bottom"/>
          </w:tcPr>
          <w:p>
            <w:pPr>
              <w:pStyle w:val="Normal"/>
              <w:jc w:val="center"/>
              <w:rPr/>
            </w:pPr>
            <w:r>
              <w:rPr>
                <w:rFonts w:ascii="Calibri" w:hAnsi="Calibri"/>
                <w:color w:val="000000"/>
                <w:sz w:val="14"/>
                <w:szCs w:val="14"/>
              </w:rPr>
              <w:t>10</w:t>
            </w:r>
          </w:p>
        </w:tc>
        <w:tc>
          <w:tcPr>
            <w:tcW w:w="797" w:type="dxa"/>
            <w:tcBorders>
              <w:top w:val="single" w:sz="4" w:space="0" w:color="000000"/>
              <w:left w:val="single" w:sz="4" w:space="0" w:color="000000"/>
              <w:bottom w:val="single" w:sz="4" w:space="0" w:color="000000"/>
              <w:right w:val="single" w:sz="4" w:space="0" w:color="000000"/>
            </w:tcBorders>
            <w:shd w:fill="auto" w:val="clear"/>
            <w:vAlign w:val="bottom"/>
          </w:tcPr>
          <w:p>
            <w:pPr>
              <w:pStyle w:val="Normal"/>
              <w:jc w:val="center"/>
              <w:rPr/>
            </w:pPr>
            <w:r>
              <w:rPr>
                <w:rFonts w:ascii="Calibri" w:hAnsi="Calibri"/>
                <w:color w:val="000000"/>
                <w:sz w:val="14"/>
                <w:szCs w:val="14"/>
              </w:rPr>
              <w:t>10</w:t>
            </w:r>
          </w:p>
        </w:tc>
        <w:tc>
          <w:tcPr>
            <w:tcW w:w="850" w:type="dxa"/>
            <w:tcBorders>
              <w:top w:val="single" w:sz="4" w:space="0" w:color="000000"/>
              <w:left w:val="single" w:sz="8" w:space="0" w:color="000000"/>
              <w:bottom w:val="single" w:sz="4" w:space="0" w:color="000000"/>
              <w:right w:val="single" w:sz="8" w:space="0" w:color="000000"/>
            </w:tcBorders>
            <w:shd w:fill="auto" w:val="clear"/>
            <w:vAlign w:val="bottom"/>
          </w:tcPr>
          <w:p>
            <w:pPr>
              <w:pStyle w:val="Normal"/>
              <w:jc w:val="center"/>
              <w:rPr/>
            </w:pPr>
            <w:r>
              <w:rPr>
                <w:rFonts w:ascii="Calibri" w:hAnsi="Calibri"/>
                <w:color w:val="000000"/>
                <w:sz w:val="14"/>
                <w:szCs w:val="14"/>
              </w:rPr>
              <w:t>10</w:t>
            </w:r>
          </w:p>
        </w:tc>
      </w:tr>
      <w:tr>
        <w:trPr>
          <w:trHeight w:val="300" w:hRule="atLeast"/>
        </w:trPr>
        <w:tc>
          <w:tcPr>
            <w:tcW w:w="2714" w:type="dxa"/>
            <w:tcBorders>
              <w:top w:val="single" w:sz="4" w:space="0" w:color="000000"/>
              <w:left w:val="single" w:sz="8" w:space="0" w:color="000000"/>
              <w:bottom w:val="single" w:sz="4" w:space="0" w:color="000000"/>
              <w:right w:val="single" w:sz="4" w:space="0" w:color="000000"/>
            </w:tcBorders>
            <w:shd w:fill="auto" w:val="clear"/>
            <w:vAlign w:val="bottom"/>
          </w:tcPr>
          <w:p>
            <w:pPr>
              <w:pStyle w:val="Normal"/>
              <w:rPr>
                <w:rFonts w:ascii="Calibri" w:hAnsi="Calibri"/>
                <w:sz w:val="14"/>
                <w:szCs w:val="14"/>
              </w:rPr>
            </w:pPr>
            <w:r>
              <w:rPr>
                <w:rFonts w:ascii="Calibri" w:hAnsi="Calibri"/>
                <w:color w:val="000000"/>
                <w:sz w:val="14"/>
                <w:szCs w:val="14"/>
              </w:rPr>
              <w:t xml:space="preserve">b) Titoli culturali e professionali </w:t>
            </w:r>
          </w:p>
        </w:tc>
        <w:tc>
          <w:tcPr>
            <w:tcW w:w="1077" w:type="dxa"/>
            <w:tcBorders>
              <w:top w:val="single" w:sz="4" w:space="0" w:color="000000"/>
              <w:left w:val="single" w:sz="4" w:space="0" w:color="000000"/>
              <w:bottom w:val="single" w:sz="4" w:space="0" w:color="000000"/>
              <w:right w:val="single" w:sz="4" w:space="0" w:color="000000"/>
            </w:tcBorders>
            <w:shd w:fill="auto" w:val="clear"/>
            <w:vAlign w:val="bottom"/>
          </w:tcPr>
          <w:p>
            <w:pPr>
              <w:pStyle w:val="Normal"/>
              <w:jc w:val="center"/>
              <w:rPr/>
            </w:pPr>
            <w:r>
              <w:rPr>
                <w:rFonts w:ascii="Calibri" w:hAnsi="Calibri"/>
                <w:color w:val="000000"/>
                <w:sz w:val="14"/>
                <w:szCs w:val="14"/>
              </w:rPr>
              <w:t>10</w:t>
            </w:r>
          </w:p>
        </w:tc>
        <w:tc>
          <w:tcPr>
            <w:tcW w:w="965" w:type="dxa"/>
            <w:tcBorders>
              <w:top w:val="single" w:sz="4" w:space="0" w:color="000000"/>
              <w:left w:val="single" w:sz="4" w:space="0" w:color="000000"/>
              <w:bottom w:val="single" w:sz="4" w:space="0" w:color="000000"/>
              <w:right w:val="single" w:sz="4" w:space="0" w:color="000000"/>
            </w:tcBorders>
            <w:shd w:fill="auto" w:val="clear"/>
            <w:vAlign w:val="bottom"/>
          </w:tcPr>
          <w:p>
            <w:pPr>
              <w:pStyle w:val="Normal"/>
              <w:jc w:val="center"/>
              <w:rPr/>
            </w:pPr>
            <w:r>
              <w:rPr>
                <w:rFonts w:ascii="Calibri" w:hAnsi="Calibri"/>
                <w:color w:val="000000"/>
                <w:sz w:val="14"/>
                <w:szCs w:val="14"/>
              </w:rPr>
              <w:t>10</w:t>
            </w:r>
          </w:p>
        </w:tc>
        <w:tc>
          <w:tcPr>
            <w:tcW w:w="797" w:type="dxa"/>
            <w:tcBorders>
              <w:top w:val="single" w:sz="4" w:space="0" w:color="000000"/>
              <w:left w:val="single" w:sz="4" w:space="0" w:color="000000"/>
              <w:bottom w:val="single" w:sz="4" w:space="0" w:color="000000"/>
              <w:right w:val="single" w:sz="4" w:space="0" w:color="000000"/>
            </w:tcBorders>
            <w:shd w:fill="auto" w:val="clear"/>
            <w:vAlign w:val="bottom"/>
          </w:tcPr>
          <w:p>
            <w:pPr>
              <w:pStyle w:val="Normal"/>
              <w:jc w:val="center"/>
              <w:rPr/>
            </w:pPr>
            <w:r>
              <w:rPr>
                <w:rFonts w:ascii="Calibri" w:hAnsi="Calibri"/>
                <w:color w:val="000000"/>
                <w:sz w:val="14"/>
                <w:szCs w:val="14"/>
              </w:rPr>
              <w:t>10</w:t>
            </w:r>
          </w:p>
        </w:tc>
        <w:tc>
          <w:tcPr>
            <w:tcW w:w="850" w:type="dxa"/>
            <w:tcBorders>
              <w:top w:val="single" w:sz="4" w:space="0" w:color="000000"/>
              <w:left w:val="single" w:sz="8" w:space="0" w:color="000000"/>
              <w:bottom w:val="single" w:sz="4" w:space="0" w:color="000000"/>
              <w:right w:val="single" w:sz="8" w:space="0" w:color="000000"/>
            </w:tcBorders>
            <w:shd w:fill="auto" w:val="clear"/>
            <w:vAlign w:val="bottom"/>
          </w:tcPr>
          <w:p>
            <w:pPr>
              <w:pStyle w:val="Normal"/>
              <w:jc w:val="center"/>
              <w:rPr/>
            </w:pPr>
            <w:r>
              <w:rPr>
                <w:rFonts w:ascii="Calibri" w:hAnsi="Calibri"/>
                <w:color w:val="000000"/>
                <w:sz w:val="14"/>
                <w:szCs w:val="14"/>
              </w:rPr>
              <w:t>10</w:t>
            </w:r>
          </w:p>
        </w:tc>
      </w:tr>
      <w:tr>
        <w:trPr>
          <w:trHeight w:val="300" w:hRule="atLeast"/>
        </w:trPr>
        <w:tc>
          <w:tcPr>
            <w:tcW w:w="2714" w:type="dxa"/>
            <w:tcBorders>
              <w:top w:val="single" w:sz="4" w:space="0" w:color="000000"/>
              <w:left w:val="single" w:sz="8" w:space="0" w:color="000000"/>
              <w:bottom w:val="single" w:sz="4" w:space="0" w:color="000000"/>
              <w:right w:val="single" w:sz="4" w:space="0" w:color="000000"/>
            </w:tcBorders>
            <w:shd w:fill="auto" w:val="clear"/>
            <w:vAlign w:val="bottom"/>
          </w:tcPr>
          <w:p>
            <w:pPr>
              <w:pStyle w:val="Normal"/>
              <w:rPr>
                <w:rFonts w:ascii="Calibri" w:hAnsi="Calibri"/>
                <w:sz w:val="14"/>
                <w:szCs w:val="14"/>
              </w:rPr>
            </w:pPr>
            <w:r>
              <w:rPr>
                <w:rFonts w:ascii="Calibri" w:hAnsi="Calibri"/>
                <w:color w:val="000000"/>
                <w:sz w:val="14"/>
                <w:szCs w:val="14"/>
              </w:rPr>
              <w:t xml:space="preserve">c) Formazione certificata e pertinente </w:t>
            </w:r>
          </w:p>
        </w:tc>
        <w:tc>
          <w:tcPr>
            <w:tcW w:w="1077" w:type="dxa"/>
            <w:tcBorders>
              <w:top w:val="single" w:sz="4" w:space="0" w:color="000000"/>
              <w:left w:val="single" w:sz="4" w:space="0" w:color="000000"/>
              <w:bottom w:val="single" w:sz="4" w:space="0" w:color="000000"/>
              <w:right w:val="single" w:sz="4" w:space="0" w:color="000000"/>
            </w:tcBorders>
            <w:shd w:fill="auto" w:val="clear"/>
            <w:vAlign w:val="bottom"/>
          </w:tcPr>
          <w:p>
            <w:pPr>
              <w:pStyle w:val="Normal"/>
              <w:jc w:val="center"/>
              <w:rPr/>
            </w:pPr>
            <w:r>
              <w:rPr>
                <w:rFonts w:ascii="Calibri" w:hAnsi="Calibri"/>
                <w:color w:val="000000"/>
                <w:sz w:val="14"/>
                <w:szCs w:val="14"/>
              </w:rPr>
              <w:t>25</w:t>
            </w:r>
          </w:p>
        </w:tc>
        <w:tc>
          <w:tcPr>
            <w:tcW w:w="965" w:type="dxa"/>
            <w:tcBorders>
              <w:top w:val="single" w:sz="4" w:space="0" w:color="000000"/>
              <w:left w:val="single" w:sz="4" w:space="0" w:color="000000"/>
              <w:bottom w:val="single" w:sz="4" w:space="0" w:color="000000"/>
              <w:right w:val="single" w:sz="4" w:space="0" w:color="000000"/>
            </w:tcBorders>
            <w:shd w:fill="auto" w:val="clear"/>
            <w:vAlign w:val="bottom"/>
          </w:tcPr>
          <w:p>
            <w:pPr>
              <w:pStyle w:val="Normal"/>
              <w:jc w:val="center"/>
              <w:rPr/>
            </w:pPr>
            <w:r>
              <w:rPr>
                <w:rFonts w:ascii="Calibri" w:hAnsi="Calibri"/>
                <w:color w:val="000000"/>
                <w:sz w:val="14"/>
                <w:szCs w:val="14"/>
              </w:rPr>
              <w:t>25</w:t>
            </w:r>
          </w:p>
        </w:tc>
        <w:tc>
          <w:tcPr>
            <w:tcW w:w="797" w:type="dxa"/>
            <w:tcBorders>
              <w:top w:val="single" w:sz="4" w:space="0" w:color="000000"/>
              <w:left w:val="single" w:sz="4" w:space="0" w:color="000000"/>
              <w:bottom w:val="single" w:sz="4" w:space="0" w:color="000000"/>
              <w:right w:val="single" w:sz="4" w:space="0" w:color="000000"/>
            </w:tcBorders>
            <w:shd w:fill="auto" w:val="clear"/>
            <w:vAlign w:val="bottom"/>
          </w:tcPr>
          <w:p>
            <w:pPr>
              <w:pStyle w:val="Normal"/>
              <w:jc w:val="center"/>
              <w:rPr/>
            </w:pPr>
            <w:r>
              <w:rPr>
                <w:rFonts w:ascii="Calibri" w:hAnsi="Calibri"/>
                <w:color w:val="000000"/>
                <w:sz w:val="14"/>
                <w:szCs w:val="14"/>
              </w:rPr>
              <w:t>25</w:t>
            </w:r>
          </w:p>
        </w:tc>
        <w:tc>
          <w:tcPr>
            <w:tcW w:w="850" w:type="dxa"/>
            <w:tcBorders>
              <w:top w:val="single" w:sz="4" w:space="0" w:color="000000"/>
              <w:left w:val="single" w:sz="8" w:space="0" w:color="000000"/>
              <w:bottom w:val="single" w:sz="4" w:space="0" w:color="000000"/>
              <w:right w:val="single" w:sz="8" w:space="0" w:color="000000"/>
            </w:tcBorders>
            <w:shd w:fill="auto" w:val="clear"/>
            <w:vAlign w:val="bottom"/>
          </w:tcPr>
          <w:p>
            <w:pPr>
              <w:pStyle w:val="Normal"/>
              <w:jc w:val="center"/>
              <w:rPr/>
            </w:pPr>
            <w:r>
              <w:rPr>
                <w:rFonts w:ascii="Calibri" w:hAnsi="Calibri"/>
                <w:color w:val="000000"/>
                <w:sz w:val="14"/>
                <w:szCs w:val="14"/>
              </w:rPr>
              <w:t>25</w:t>
            </w:r>
          </w:p>
        </w:tc>
      </w:tr>
      <w:tr>
        <w:trPr>
          <w:trHeight w:val="300" w:hRule="atLeast"/>
        </w:trPr>
        <w:tc>
          <w:tcPr>
            <w:tcW w:w="2714" w:type="dxa"/>
            <w:tcBorders>
              <w:top w:val="single" w:sz="4" w:space="0" w:color="000000"/>
              <w:left w:val="single" w:sz="8" w:space="0" w:color="000000"/>
              <w:bottom w:val="single" w:sz="4" w:space="0" w:color="000000"/>
              <w:right w:val="single" w:sz="4" w:space="0" w:color="000000"/>
            </w:tcBorders>
            <w:shd w:fill="auto" w:val="clear"/>
            <w:vAlign w:val="bottom"/>
          </w:tcPr>
          <w:p>
            <w:pPr>
              <w:pStyle w:val="Normal"/>
              <w:rPr>
                <w:b w:val="false"/>
                <w:b w:val="false"/>
                <w:bCs w:val="false"/>
              </w:rPr>
            </w:pPr>
            <w:r>
              <w:rPr>
                <w:rFonts w:ascii="Calibri" w:hAnsi="Calibri"/>
                <w:b w:val="false"/>
                <w:bCs w:val="false"/>
                <w:color w:val="000000"/>
                <w:sz w:val="14"/>
                <w:szCs w:val="14"/>
              </w:rPr>
              <w:t xml:space="preserve">d) Qualità della prestazione individuale </w:t>
            </w:r>
          </w:p>
        </w:tc>
        <w:tc>
          <w:tcPr>
            <w:tcW w:w="1077" w:type="dxa"/>
            <w:tcBorders>
              <w:top w:val="single" w:sz="4" w:space="0" w:color="000000"/>
              <w:left w:val="single" w:sz="4" w:space="0" w:color="000000"/>
              <w:bottom w:val="single" w:sz="4" w:space="0" w:color="000000"/>
              <w:right w:val="single" w:sz="4" w:space="0" w:color="000000"/>
            </w:tcBorders>
            <w:shd w:fill="auto" w:val="clear"/>
            <w:vAlign w:val="bottom"/>
          </w:tcPr>
          <w:p>
            <w:pPr>
              <w:pStyle w:val="Normal"/>
              <w:jc w:val="center"/>
              <w:rPr/>
            </w:pPr>
            <w:r>
              <w:rPr>
                <w:rFonts w:ascii="Calibri" w:hAnsi="Calibri"/>
                <w:color w:val="000000"/>
                <w:sz w:val="14"/>
                <w:szCs w:val="14"/>
              </w:rPr>
              <w:t>35</w:t>
            </w:r>
          </w:p>
        </w:tc>
        <w:tc>
          <w:tcPr>
            <w:tcW w:w="965" w:type="dxa"/>
            <w:tcBorders>
              <w:top w:val="single" w:sz="4" w:space="0" w:color="000000"/>
              <w:left w:val="single" w:sz="4" w:space="0" w:color="000000"/>
              <w:bottom w:val="single" w:sz="4" w:space="0" w:color="000000"/>
              <w:right w:val="single" w:sz="4" w:space="0" w:color="000000"/>
            </w:tcBorders>
            <w:shd w:fill="auto" w:val="clear"/>
            <w:vAlign w:val="bottom"/>
          </w:tcPr>
          <w:p>
            <w:pPr>
              <w:pStyle w:val="Normal"/>
              <w:jc w:val="center"/>
              <w:rPr/>
            </w:pPr>
            <w:r>
              <w:rPr>
                <w:rFonts w:ascii="Calibri" w:hAnsi="Calibri"/>
                <w:color w:val="000000"/>
                <w:sz w:val="14"/>
                <w:szCs w:val="14"/>
              </w:rPr>
              <w:t>40</w:t>
            </w:r>
          </w:p>
        </w:tc>
        <w:tc>
          <w:tcPr>
            <w:tcW w:w="797" w:type="dxa"/>
            <w:tcBorders>
              <w:top w:val="single" w:sz="4" w:space="0" w:color="000000"/>
              <w:left w:val="single" w:sz="4" w:space="0" w:color="000000"/>
              <w:bottom w:val="single" w:sz="4" w:space="0" w:color="000000"/>
              <w:right w:val="single" w:sz="4" w:space="0" w:color="000000"/>
            </w:tcBorders>
            <w:shd w:fill="auto" w:val="clear"/>
            <w:vAlign w:val="bottom"/>
          </w:tcPr>
          <w:p>
            <w:pPr>
              <w:pStyle w:val="Normal"/>
              <w:jc w:val="center"/>
              <w:rPr/>
            </w:pPr>
            <w:r>
              <w:rPr>
                <w:rFonts w:ascii="Calibri" w:hAnsi="Calibri"/>
                <w:color w:val="000000"/>
                <w:sz w:val="14"/>
                <w:szCs w:val="14"/>
              </w:rPr>
              <w:t>45</w:t>
            </w:r>
          </w:p>
        </w:tc>
        <w:tc>
          <w:tcPr>
            <w:tcW w:w="850" w:type="dxa"/>
            <w:tcBorders>
              <w:top w:val="single" w:sz="4" w:space="0" w:color="000000"/>
              <w:left w:val="single" w:sz="8" w:space="0" w:color="000000"/>
              <w:bottom w:val="single" w:sz="4" w:space="0" w:color="000000"/>
              <w:right w:val="single" w:sz="8" w:space="0" w:color="000000"/>
            </w:tcBorders>
            <w:shd w:fill="auto" w:val="clear"/>
            <w:vAlign w:val="bottom"/>
          </w:tcPr>
          <w:p>
            <w:pPr>
              <w:pStyle w:val="Normal"/>
              <w:jc w:val="center"/>
              <w:rPr/>
            </w:pPr>
            <w:r>
              <w:rPr>
                <w:rFonts w:ascii="Calibri" w:hAnsi="Calibri"/>
                <w:color w:val="000000"/>
                <w:sz w:val="14"/>
                <w:szCs w:val="14"/>
              </w:rPr>
              <w:t>50</w:t>
            </w:r>
          </w:p>
        </w:tc>
      </w:tr>
      <w:tr>
        <w:trPr>
          <w:trHeight w:val="300" w:hRule="atLeast"/>
        </w:trPr>
        <w:tc>
          <w:tcPr>
            <w:tcW w:w="2714" w:type="dxa"/>
            <w:tcBorders>
              <w:top w:val="single" w:sz="4" w:space="0" w:color="000000"/>
              <w:left w:val="single" w:sz="8" w:space="0" w:color="000000"/>
              <w:bottom w:val="single" w:sz="4" w:space="0" w:color="000000"/>
              <w:right w:val="single" w:sz="4" w:space="0" w:color="000000"/>
            </w:tcBorders>
            <w:shd w:fill="auto" w:val="clear"/>
            <w:vAlign w:val="bottom"/>
          </w:tcPr>
          <w:p>
            <w:pPr>
              <w:pStyle w:val="Normal"/>
              <w:rPr>
                <w:rFonts w:ascii="Calibri" w:hAnsi="Calibri"/>
                <w:sz w:val="14"/>
                <w:szCs w:val="14"/>
              </w:rPr>
            </w:pPr>
            <w:r>
              <w:rPr>
                <w:rFonts w:ascii="Calibri" w:hAnsi="Calibri"/>
                <w:color w:val="000000"/>
                <w:sz w:val="14"/>
                <w:szCs w:val="14"/>
              </w:rPr>
              <w:t xml:space="preserve">e) Esperienza lavorativa acquisita </w:t>
            </w:r>
          </w:p>
        </w:tc>
        <w:tc>
          <w:tcPr>
            <w:tcW w:w="1077" w:type="dxa"/>
            <w:tcBorders>
              <w:top w:val="single" w:sz="4" w:space="0" w:color="000000"/>
              <w:left w:val="single" w:sz="4" w:space="0" w:color="000000"/>
              <w:bottom w:val="single" w:sz="4" w:space="0" w:color="000000"/>
              <w:right w:val="single" w:sz="4" w:space="0" w:color="000000"/>
            </w:tcBorders>
            <w:shd w:fill="auto" w:val="clear"/>
            <w:vAlign w:val="bottom"/>
          </w:tcPr>
          <w:p>
            <w:pPr>
              <w:pStyle w:val="Normal"/>
              <w:jc w:val="center"/>
              <w:rPr/>
            </w:pPr>
            <w:r>
              <w:rPr>
                <w:rFonts w:ascii="Calibri" w:hAnsi="Calibri"/>
                <w:color w:val="000000"/>
                <w:sz w:val="14"/>
                <w:szCs w:val="14"/>
              </w:rPr>
              <w:t>20</w:t>
            </w:r>
          </w:p>
        </w:tc>
        <w:tc>
          <w:tcPr>
            <w:tcW w:w="965" w:type="dxa"/>
            <w:tcBorders>
              <w:top w:val="single" w:sz="4" w:space="0" w:color="000000"/>
              <w:left w:val="single" w:sz="4" w:space="0" w:color="000000"/>
              <w:bottom w:val="single" w:sz="4" w:space="0" w:color="000000"/>
              <w:right w:val="single" w:sz="4" w:space="0" w:color="000000"/>
            </w:tcBorders>
            <w:shd w:fill="auto" w:val="clear"/>
            <w:vAlign w:val="bottom"/>
          </w:tcPr>
          <w:p>
            <w:pPr>
              <w:pStyle w:val="Normal"/>
              <w:jc w:val="center"/>
              <w:rPr/>
            </w:pPr>
            <w:r>
              <w:rPr>
                <w:rFonts w:ascii="Calibri" w:hAnsi="Calibri"/>
                <w:color w:val="000000"/>
                <w:sz w:val="14"/>
                <w:szCs w:val="14"/>
              </w:rPr>
              <w:t>15</w:t>
            </w:r>
          </w:p>
        </w:tc>
        <w:tc>
          <w:tcPr>
            <w:tcW w:w="797" w:type="dxa"/>
            <w:tcBorders>
              <w:top w:val="single" w:sz="4" w:space="0" w:color="000000"/>
              <w:left w:val="single" w:sz="4" w:space="0" w:color="000000"/>
              <w:bottom w:val="single" w:sz="4" w:space="0" w:color="000000"/>
              <w:right w:val="single" w:sz="4" w:space="0" w:color="000000"/>
            </w:tcBorders>
            <w:shd w:fill="auto" w:val="clear"/>
            <w:vAlign w:val="bottom"/>
          </w:tcPr>
          <w:p>
            <w:pPr>
              <w:pStyle w:val="Normal"/>
              <w:jc w:val="center"/>
              <w:rPr/>
            </w:pPr>
            <w:r>
              <w:rPr>
                <w:rFonts w:ascii="Calibri" w:hAnsi="Calibri"/>
                <w:color w:val="000000"/>
                <w:sz w:val="14"/>
                <w:szCs w:val="14"/>
              </w:rPr>
              <w:t>10</w:t>
            </w:r>
          </w:p>
        </w:tc>
        <w:tc>
          <w:tcPr>
            <w:tcW w:w="850" w:type="dxa"/>
            <w:tcBorders>
              <w:top w:val="single" w:sz="4" w:space="0" w:color="000000"/>
              <w:left w:val="single" w:sz="8" w:space="0" w:color="000000"/>
              <w:bottom w:val="single" w:sz="4" w:space="0" w:color="000000"/>
              <w:right w:val="single" w:sz="8" w:space="0" w:color="000000"/>
            </w:tcBorders>
            <w:shd w:fill="auto" w:val="clear"/>
            <w:vAlign w:val="bottom"/>
          </w:tcPr>
          <w:p>
            <w:pPr>
              <w:pStyle w:val="Normal"/>
              <w:jc w:val="center"/>
              <w:rPr/>
            </w:pPr>
            <w:r>
              <w:rPr>
                <w:rFonts w:ascii="Calibri" w:hAnsi="Calibri"/>
                <w:color w:val="000000"/>
                <w:sz w:val="14"/>
                <w:szCs w:val="14"/>
              </w:rPr>
              <w:t>5</w:t>
            </w:r>
          </w:p>
        </w:tc>
      </w:tr>
      <w:tr>
        <w:trPr>
          <w:trHeight w:val="315" w:hRule="atLeast"/>
        </w:trPr>
        <w:tc>
          <w:tcPr>
            <w:tcW w:w="2714" w:type="dxa"/>
            <w:tcBorders>
              <w:top w:val="single" w:sz="8" w:space="0" w:color="000000"/>
              <w:left w:val="single" w:sz="8" w:space="0" w:color="000000"/>
              <w:bottom w:val="single" w:sz="8" w:space="0" w:color="000000"/>
              <w:right w:val="single" w:sz="4" w:space="0" w:color="000000"/>
            </w:tcBorders>
            <w:shd w:fill="D8D8D8" w:val="clear"/>
            <w:vAlign w:val="bottom"/>
          </w:tcPr>
          <w:p>
            <w:pPr>
              <w:pStyle w:val="Normal"/>
              <w:rPr>
                <w:rFonts w:ascii="Calibri" w:hAnsi="Calibri"/>
                <w:sz w:val="14"/>
                <w:szCs w:val="14"/>
              </w:rPr>
            </w:pPr>
            <w:r>
              <w:rPr>
                <w:rFonts w:ascii="Calibri" w:hAnsi="Calibri"/>
                <w:b/>
                <w:bCs/>
                <w:color w:val="000000"/>
                <w:sz w:val="14"/>
                <w:szCs w:val="14"/>
              </w:rPr>
              <w:t xml:space="preserve">TOTALE MASSIMO PUNTEGGIO </w:t>
            </w:r>
          </w:p>
        </w:tc>
        <w:tc>
          <w:tcPr>
            <w:tcW w:w="1077" w:type="dxa"/>
            <w:tcBorders>
              <w:top w:val="single" w:sz="8" w:space="0" w:color="000000"/>
              <w:left w:val="single" w:sz="4" w:space="0" w:color="000000"/>
              <w:bottom w:val="single" w:sz="8" w:space="0" w:color="000000"/>
              <w:right w:val="single" w:sz="4" w:space="0" w:color="000000"/>
            </w:tcBorders>
            <w:shd w:fill="D8D8D8" w:val="clear"/>
            <w:vAlign w:val="bottom"/>
          </w:tcPr>
          <w:p>
            <w:pPr>
              <w:pStyle w:val="Normal"/>
              <w:jc w:val="center"/>
              <w:rPr/>
            </w:pPr>
            <w:r>
              <w:rPr>
                <w:rFonts w:ascii="Calibri" w:hAnsi="Calibri"/>
                <w:b/>
                <w:bCs/>
                <w:color w:val="000000"/>
                <w:sz w:val="14"/>
                <w:szCs w:val="14"/>
              </w:rPr>
              <w:t>100</w:t>
            </w:r>
          </w:p>
        </w:tc>
        <w:tc>
          <w:tcPr>
            <w:tcW w:w="965" w:type="dxa"/>
            <w:tcBorders>
              <w:top w:val="single" w:sz="8" w:space="0" w:color="000000"/>
              <w:left w:val="single" w:sz="4" w:space="0" w:color="000000"/>
              <w:bottom w:val="single" w:sz="8" w:space="0" w:color="000000"/>
              <w:right w:val="single" w:sz="4" w:space="0" w:color="000000"/>
            </w:tcBorders>
            <w:shd w:fill="D8D8D8" w:val="clear"/>
            <w:vAlign w:val="bottom"/>
          </w:tcPr>
          <w:p>
            <w:pPr>
              <w:pStyle w:val="Normal"/>
              <w:jc w:val="center"/>
              <w:rPr/>
            </w:pPr>
            <w:r>
              <w:rPr>
                <w:rFonts w:ascii="Calibri" w:hAnsi="Calibri"/>
                <w:b/>
                <w:bCs/>
                <w:color w:val="000000"/>
                <w:sz w:val="14"/>
                <w:szCs w:val="14"/>
              </w:rPr>
              <w:t>100</w:t>
            </w:r>
          </w:p>
        </w:tc>
        <w:tc>
          <w:tcPr>
            <w:tcW w:w="797" w:type="dxa"/>
            <w:tcBorders>
              <w:top w:val="single" w:sz="8" w:space="0" w:color="000000"/>
              <w:left w:val="single" w:sz="4" w:space="0" w:color="000000"/>
              <w:bottom w:val="single" w:sz="8" w:space="0" w:color="000000"/>
              <w:right w:val="single" w:sz="4" w:space="0" w:color="000000"/>
            </w:tcBorders>
            <w:shd w:fill="D8D8D8" w:val="clear"/>
            <w:vAlign w:val="bottom"/>
          </w:tcPr>
          <w:p>
            <w:pPr>
              <w:pStyle w:val="Normal"/>
              <w:jc w:val="center"/>
              <w:rPr/>
            </w:pPr>
            <w:r>
              <w:rPr>
                <w:rFonts w:ascii="Calibri" w:hAnsi="Calibri"/>
                <w:b/>
                <w:bCs/>
                <w:color w:val="000000"/>
                <w:sz w:val="14"/>
                <w:szCs w:val="14"/>
              </w:rPr>
              <w:t>100</w:t>
            </w:r>
          </w:p>
        </w:tc>
        <w:tc>
          <w:tcPr>
            <w:tcW w:w="850" w:type="dxa"/>
            <w:tcBorders>
              <w:top w:val="single" w:sz="8" w:space="0" w:color="000000"/>
              <w:left w:val="single" w:sz="8" w:space="0" w:color="000000"/>
              <w:bottom w:val="single" w:sz="8" w:space="0" w:color="000000"/>
              <w:right w:val="single" w:sz="8" w:space="0" w:color="000000"/>
            </w:tcBorders>
            <w:shd w:fill="D8D8D8" w:val="clear"/>
            <w:vAlign w:val="bottom"/>
          </w:tcPr>
          <w:p>
            <w:pPr>
              <w:pStyle w:val="Normal"/>
              <w:jc w:val="center"/>
              <w:rPr/>
            </w:pPr>
            <w:r>
              <w:rPr>
                <w:rFonts w:ascii="Calibri" w:hAnsi="Calibri"/>
                <w:b/>
                <w:bCs/>
                <w:color w:val="000000"/>
                <w:sz w:val="14"/>
                <w:szCs w:val="14"/>
              </w:rPr>
              <w:t>100</w:t>
            </w:r>
          </w:p>
        </w:tc>
      </w:tr>
    </w:tbl>
    <w:p>
      <w:pPr>
        <w:pStyle w:val="ListParagraph"/>
        <w:ind w:left="360" w:right="0" w:hanging="0"/>
        <w:jc w:val="both"/>
        <w:rPr>
          <w:rFonts w:ascii="Calibri" w:hAnsi="Calibri"/>
          <w:sz w:val="20"/>
          <w:szCs w:val="20"/>
        </w:rPr>
      </w:pPr>
      <w:r>
        <w:rPr>
          <w:rFonts w:ascii="Calibri" w:hAnsi="Calibri"/>
          <w:sz w:val="20"/>
          <w:szCs w:val="20"/>
        </w:rPr>
      </w:r>
    </w:p>
    <w:p>
      <w:pPr>
        <w:pStyle w:val="ListParagraph"/>
        <w:shd w:val="clear" w:fill="FFFFFF"/>
        <w:ind w:left="0" w:right="0" w:hanging="0"/>
        <w:jc w:val="both"/>
        <w:rPr>
          <w:rFonts w:ascii="Calibri" w:hAnsi="Calibri"/>
          <w:sz w:val="20"/>
          <w:szCs w:val="20"/>
        </w:rPr>
      </w:pPr>
      <w:r>
        <w:rPr>
          <w:rFonts w:ascii="Calibri" w:hAnsi="Calibri"/>
          <w:sz w:val="20"/>
          <w:szCs w:val="20"/>
        </w:rPr>
        <w:t xml:space="preserve">Tenuto conto dei criteri sopra descritti, saranno valutati tutti i titoli maturati nel periodo intercorso tra la data dell’ultimo inquadramento del dipendente nella posizione economica immediatamente inferiore a quella per cui si concorre ed il 31 dicembre 2021, ad eccezione del criterio della qualità delle prestazioni individuali, per il quale si terrà conto delle valutazioni della performance individuale conseguite </w:t>
      </w:r>
      <w:r>
        <w:rPr>
          <w:rFonts w:eastAsia="Times New Roman" w:cs="Times New Roman" w:ascii="Calibri" w:hAnsi="Calibri"/>
          <w:color w:val="auto"/>
          <w:kern w:val="0"/>
          <w:sz w:val="20"/>
          <w:szCs w:val="20"/>
          <w:lang w:val="it-IT" w:eastAsia="it-IT" w:bidi="ar-SA"/>
        </w:rPr>
        <w:t>del</w:t>
      </w:r>
      <w:r>
        <w:rPr>
          <w:rFonts w:ascii="Calibri" w:hAnsi="Calibri"/>
          <w:b/>
          <w:bCs/>
          <w:sz w:val="20"/>
          <w:szCs w:val="20"/>
        </w:rPr>
        <w:t xml:space="preserve"> triennio 2019/2021.</w:t>
      </w:r>
    </w:p>
    <w:p>
      <w:pPr>
        <w:pStyle w:val="ListParagraph"/>
        <w:ind w:left="0" w:right="0" w:hanging="0"/>
        <w:jc w:val="both"/>
        <w:rPr>
          <w:rFonts w:ascii="Calibri" w:hAnsi="Calibri"/>
          <w:sz w:val="20"/>
          <w:szCs w:val="20"/>
        </w:rPr>
      </w:pPr>
      <w:r>
        <w:rPr>
          <w:rFonts w:ascii="Calibri" w:hAnsi="Calibri"/>
          <w:sz w:val="20"/>
          <w:szCs w:val="20"/>
        </w:rPr>
        <w:t>Non saranno presi in considerazione i titoli di cui sopra, valutati in precedenti progressioni orizzontali e/o verticali che abbiano dato luogo all’inquadramento.</w:t>
      </w:r>
    </w:p>
    <w:p>
      <w:pPr>
        <w:pStyle w:val="ListParagraph"/>
        <w:ind w:left="0" w:right="0" w:hanging="0"/>
        <w:jc w:val="both"/>
        <w:rPr>
          <w:rFonts w:ascii="Calibri" w:hAnsi="Calibri"/>
          <w:b/>
          <w:b/>
          <w:sz w:val="20"/>
          <w:szCs w:val="20"/>
        </w:rPr>
      </w:pPr>
      <w:r>
        <w:rPr>
          <w:rFonts w:ascii="Calibri" w:hAnsi="Calibri"/>
          <w:b/>
          <w:sz w:val="20"/>
          <w:szCs w:val="20"/>
        </w:rPr>
      </w:r>
    </w:p>
    <w:p>
      <w:pPr>
        <w:pStyle w:val="Normal"/>
        <w:ind w:left="0" w:right="0" w:hanging="0"/>
        <w:jc w:val="both"/>
        <w:rPr>
          <w:b w:val="false"/>
          <w:b w:val="false"/>
          <w:bCs w:val="false"/>
          <w:u w:val="single"/>
        </w:rPr>
      </w:pPr>
      <w:r>
        <w:rPr>
          <w:rFonts w:ascii="Calibri" w:hAnsi="Calibri"/>
          <w:b w:val="false"/>
          <w:bCs w:val="false"/>
          <w:color w:val="000000"/>
          <w:sz w:val="20"/>
          <w:szCs w:val="20"/>
          <w:u w:val="single"/>
        </w:rPr>
        <w:t>A) ARRICCHIMENTO PROFESSIONALE</w:t>
      </w:r>
    </w:p>
    <w:p>
      <w:pPr>
        <w:pStyle w:val="Normal"/>
        <w:jc w:val="both"/>
        <w:rPr/>
      </w:pPr>
      <w:r>
        <w:rPr>
          <w:rFonts w:ascii="Calibri" w:hAnsi="Calibri"/>
          <w:color w:val="000000"/>
          <w:sz w:val="20"/>
          <w:szCs w:val="20"/>
        </w:rPr>
        <w:t>Arricchimento</w:t>
      </w:r>
      <w:r>
        <w:rPr>
          <w:rFonts w:ascii="Calibri" w:hAnsi="Calibri"/>
          <w:b w:val="false"/>
          <w:bCs w:val="false"/>
          <w:color w:val="000000"/>
          <w:sz w:val="20"/>
          <w:szCs w:val="20"/>
        </w:rPr>
        <w:t xml:space="preserve"> professionale derivante dall’esperienza lavorativa, desumibile dal curriculum e/o dalla documentazione presentata dall’interessato;</w:t>
      </w:r>
    </w:p>
    <w:p>
      <w:pPr>
        <w:pStyle w:val="Normal"/>
        <w:ind w:left="0" w:right="0" w:hanging="0"/>
        <w:jc w:val="both"/>
        <w:rPr/>
      </w:pPr>
      <w:r>
        <w:rPr>
          <w:rFonts w:ascii="Calibri" w:hAnsi="Calibri"/>
          <w:b w:val="false"/>
          <w:bCs w:val="false"/>
          <w:color w:val="000000"/>
          <w:sz w:val="20"/>
          <w:szCs w:val="20"/>
        </w:rPr>
        <w:t>Il punteggio verrà assegnato sulla base del curriculum e sulla base della documentazione  presentata per incarichi/ iniziative/progetti, conferiti con provvedimenti formali emanati ne</w:t>
      </w:r>
      <w:r>
        <w:rPr>
          <w:rFonts w:ascii="Calibri" w:hAnsi="Calibri"/>
          <w:color w:val="000000"/>
          <w:sz w:val="20"/>
          <w:szCs w:val="20"/>
        </w:rPr>
        <w:t>l periodo intercorrente tra la data dell’ultimo inquadramento del dipendente nella posizione economica immediatamente inferiore a quella per cui si concorre ed il 31 dicembre dell’anno 2021.</w:t>
      </w:r>
    </w:p>
    <w:p>
      <w:pPr>
        <w:pStyle w:val="Normal"/>
        <w:jc w:val="both"/>
        <w:rPr/>
      </w:pPr>
      <w:r>
        <w:rPr>
          <w:rFonts w:ascii="Calibri" w:hAnsi="Calibri"/>
          <w:color w:val="000000"/>
          <w:sz w:val="20"/>
          <w:szCs w:val="20"/>
        </w:rPr>
        <w:t>Saranno valutati esclusivamente gli incarichi conferiti con provvedimenti conformi a quanto stabilito da legge, CCNL e CCDI aziendali dai quali possa desumersi con precisione l'oggetto dell'incarico/progetto/iniziative e il periodo di riferimento. In mancanza di ciò non potrann</w:t>
      </w:r>
      <w:r>
        <w:rPr>
          <w:rFonts w:ascii="Calibri" w:hAnsi="Calibri"/>
          <w:b w:val="false"/>
          <w:bCs w:val="false"/>
          <w:color w:val="000000"/>
          <w:sz w:val="20"/>
          <w:szCs w:val="20"/>
        </w:rPr>
        <w:t>o essere valutati.</w:t>
      </w:r>
    </w:p>
    <w:p>
      <w:pPr>
        <w:pStyle w:val="ListParagraph"/>
        <w:ind w:left="0" w:right="0" w:hanging="0"/>
        <w:jc w:val="both"/>
        <w:rPr>
          <w:rFonts w:ascii="Calibri" w:hAnsi="Calibri"/>
          <w:b/>
          <w:b/>
          <w:color w:val="000000"/>
          <w:sz w:val="20"/>
          <w:szCs w:val="20"/>
        </w:rPr>
      </w:pPr>
      <w:r>
        <w:rPr>
          <w:rFonts w:ascii="Calibri" w:hAnsi="Calibri"/>
          <w:b/>
          <w:color w:val="000000"/>
          <w:sz w:val="20"/>
          <w:szCs w:val="20"/>
        </w:rPr>
      </w:r>
    </w:p>
    <w:tbl>
      <w:tblPr>
        <w:tblW w:w="8900" w:type="dxa"/>
        <w:jc w:val="left"/>
        <w:tblInd w:w="126" w:type="dxa"/>
        <w:tblCellMar>
          <w:top w:w="0" w:type="dxa"/>
          <w:left w:w="50" w:type="dxa"/>
          <w:bottom w:w="0" w:type="dxa"/>
          <w:right w:w="70" w:type="dxa"/>
        </w:tblCellMar>
        <w:tblLook w:val="04a0"/>
      </w:tblPr>
      <w:tblGrid>
        <w:gridCol w:w="4360"/>
        <w:gridCol w:w="1124"/>
        <w:gridCol w:w="1251"/>
        <w:gridCol w:w="1021"/>
        <w:gridCol w:w="1144"/>
      </w:tblGrid>
      <w:tr>
        <w:trPr>
          <w:trHeight w:val="600" w:hRule="atLeast"/>
        </w:trPr>
        <w:tc>
          <w:tcPr>
            <w:tcW w:w="4360" w:type="dxa"/>
            <w:tcBorders>
              <w:top w:val="single" w:sz="8" w:space="0" w:color="00000A"/>
              <w:left w:val="single" w:sz="8" w:space="0" w:color="00000A"/>
              <w:bottom w:val="single" w:sz="8" w:space="0" w:color="00000A"/>
              <w:right w:val="single" w:sz="8"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ARRICCHIMENTO PROFESSIONALE</w:t>
            </w:r>
          </w:p>
        </w:tc>
        <w:tc>
          <w:tcPr>
            <w:tcW w:w="1124" w:type="dxa"/>
            <w:tcBorders>
              <w:top w:val="single" w:sz="8" w:space="0" w:color="00000A"/>
              <w:left w:val="single" w:sz="8" w:space="0" w:color="00000A"/>
              <w:bottom w:val="single" w:sz="8" w:space="0" w:color="00000A"/>
              <w:right w:val="single" w:sz="8" w:space="0" w:color="00000A"/>
            </w:tcBorders>
            <w:shd w:fill="auto" w:val="clear"/>
          </w:tcPr>
          <w:p>
            <w:pPr>
              <w:pStyle w:val="Default"/>
              <w:jc w:val="center"/>
              <w:rPr>
                <w:rFonts w:ascii="Calibri" w:hAnsi="Calibri"/>
                <w:color w:val="000000"/>
                <w:sz w:val="20"/>
                <w:szCs w:val="20"/>
              </w:rPr>
            </w:pPr>
            <w:r>
              <w:rPr>
                <w:rFonts w:cs="Times New Roman" w:ascii="Calibri" w:hAnsi="Calibri"/>
                <w:color w:val="000000"/>
                <w:sz w:val="20"/>
                <w:szCs w:val="20"/>
              </w:rPr>
              <w:t>CAT A</w:t>
            </w:r>
          </w:p>
        </w:tc>
        <w:tc>
          <w:tcPr>
            <w:tcW w:w="1251" w:type="dxa"/>
            <w:tcBorders>
              <w:top w:val="single" w:sz="8" w:space="0" w:color="00000A"/>
              <w:left w:val="single" w:sz="8" w:space="0" w:color="00000A"/>
              <w:bottom w:val="single" w:sz="8" w:space="0" w:color="00000A"/>
              <w:right w:val="single" w:sz="8" w:space="0" w:color="00000A"/>
            </w:tcBorders>
            <w:shd w:fill="auto" w:val="clear"/>
          </w:tcPr>
          <w:p>
            <w:pPr>
              <w:pStyle w:val="Default"/>
              <w:jc w:val="center"/>
              <w:rPr>
                <w:rFonts w:ascii="Calibri" w:hAnsi="Calibri"/>
                <w:color w:val="000000"/>
                <w:sz w:val="20"/>
                <w:szCs w:val="20"/>
              </w:rPr>
            </w:pPr>
            <w:r>
              <w:rPr>
                <w:rFonts w:cs="Times New Roman" w:ascii="Calibri" w:hAnsi="Calibri"/>
                <w:color w:val="000000"/>
                <w:sz w:val="20"/>
                <w:szCs w:val="20"/>
              </w:rPr>
              <w:t>CAT B</w:t>
            </w:r>
          </w:p>
        </w:tc>
        <w:tc>
          <w:tcPr>
            <w:tcW w:w="1021" w:type="dxa"/>
            <w:tcBorders>
              <w:top w:val="single" w:sz="8" w:space="0" w:color="00000A"/>
              <w:left w:val="single" w:sz="8" w:space="0" w:color="00000A"/>
              <w:bottom w:val="single" w:sz="8" w:space="0" w:color="00000A"/>
              <w:right w:val="single" w:sz="8" w:space="0" w:color="00000A"/>
            </w:tcBorders>
            <w:shd w:fill="auto" w:val="clear"/>
          </w:tcPr>
          <w:p>
            <w:pPr>
              <w:pStyle w:val="Default"/>
              <w:jc w:val="center"/>
              <w:rPr>
                <w:rFonts w:ascii="Calibri" w:hAnsi="Calibri"/>
                <w:color w:val="000000"/>
                <w:sz w:val="20"/>
                <w:szCs w:val="20"/>
              </w:rPr>
            </w:pPr>
            <w:r>
              <w:rPr>
                <w:rFonts w:cs="Times New Roman" w:ascii="Calibri" w:hAnsi="Calibri"/>
                <w:color w:val="000000"/>
                <w:sz w:val="20"/>
                <w:szCs w:val="20"/>
              </w:rPr>
              <w:t>CAT C</w:t>
            </w:r>
          </w:p>
        </w:tc>
        <w:tc>
          <w:tcPr>
            <w:tcW w:w="1144" w:type="dxa"/>
            <w:tcBorders>
              <w:top w:val="single" w:sz="8" w:space="0" w:color="00000A"/>
              <w:left w:val="single" w:sz="8" w:space="0" w:color="00000A"/>
              <w:bottom w:val="single" w:sz="8" w:space="0" w:color="00000A"/>
              <w:right w:val="single" w:sz="8" w:space="0" w:color="00000A"/>
            </w:tcBorders>
            <w:shd w:fill="auto" w:val="clear"/>
          </w:tcPr>
          <w:p>
            <w:pPr>
              <w:pStyle w:val="Default"/>
              <w:jc w:val="center"/>
              <w:rPr>
                <w:rFonts w:ascii="Calibri" w:hAnsi="Calibri"/>
                <w:color w:val="000000"/>
                <w:sz w:val="20"/>
                <w:szCs w:val="20"/>
              </w:rPr>
            </w:pPr>
            <w:r>
              <w:rPr>
                <w:rFonts w:cs="Times New Roman" w:ascii="Calibri" w:hAnsi="Calibri"/>
                <w:color w:val="000000"/>
                <w:sz w:val="20"/>
                <w:szCs w:val="20"/>
              </w:rPr>
              <w:t>CAT D</w:t>
            </w:r>
          </w:p>
        </w:tc>
      </w:tr>
      <w:tr>
        <w:trPr>
          <w:trHeight w:val="300" w:hRule="atLeast"/>
        </w:trPr>
        <w:tc>
          <w:tcPr>
            <w:tcW w:w="4360" w:type="dxa"/>
            <w:tcBorders>
              <w:top w:val="single" w:sz="8" w:space="0" w:color="00000A"/>
              <w:left w:val="single" w:sz="8" w:space="0" w:color="00000A"/>
              <w:bottom w:val="single" w:sz="4" w:space="0" w:color="00000A"/>
              <w:right w:val="single" w:sz="8"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Punteggio massimo attribuibile</w:t>
            </w:r>
          </w:p>
        </w:tc>
        <w:tc>
          <w:tcPr>
            <w:tcW w:w="1124" w:type="dxa"/>
            <w:tcBorders>
              <w:top w:val="single" w:sz="8" w:space="0" w:color="00000A"/>
              <w:left w:val="single" w:sz="4" w:space="0" w:color="00000A"/>
              <w:bottom w:val="single" w:sz="4" w:space="0" w:color="00000A"/>
              <w:right w:val="single" w:sz="4" w:space="0" w:color="00000A"/>
            </w:tcBorders>
            <w:shd w:fill="auto" w:val="clear"/>
          </w:tcPr>
          <w:p>
            <w:pPr>
              <w:pStyle w:val="Default"/>
              <w:jc w:val="center"/>
              <w:rPr>
                <w:rFonts w:ascii="Calibri" w:hAnsi="Calibri"/>
                <w:color w:val="000000"/>
                <w:sz w:val="20"/>
                <w:szCs w:val="20"/>
              </w:rPr>
            </w:pPr>
            <w:r>
              <w:rPr>
                <w:rFonts w:cs="Times New Roman" w:ascii="Calibri" w:hAnsi="Calibri"/>
                <w:color w:val="000000"/>
                <w:sz w:val="20"/>
                <w:szCs w:val="20"/>
              </w:rPr>
              <w:t>10</w:t>
            </w:r>
          </w:p>
        </w:tc>
        <w:tc>
          <w:tcPr>
            <w:tcW w:w="1251" w:type="dxa"/>
            <w:tcBorders>
              <w:top w:val="single" w:sz="8" w:space="0" w:color="00000A"/>
              <w:left w:val="single" w:sz="4" w:space="0" w:color="00000A"/>
              <w:bottom w:val="single" w:sz="4" w:space="0" w:color="00000A"/>
              <w:right w:val="single" w:sz="4" w:space="0" w:color="00000A"/>
            </w:tcBorders>
            <w:shd w:fill="auto" w:val="clear"/>
          </w:tcPr>
          <w:p>
            <w:pPr>
              <w:pStyle w:val="Default"/>
              <w:jc w:val="center"/>
              <w:rPr>
                <w:rFonts w:ascii="Calibri" w:hAnsi="Calibri"/>
                <w:color w:val="000000"/>
                <w:sz w:val="20"/>
                <w:szCs w:val="20"/>
              </w:rPr>
            </w:pPr>
            <w:r>
              <w:rPr>
                <w:rFonts w:cs="Times New Roman" w:ascii="Calibri" w:hAnsi="Calibri"/>
                <w:color w:val="000000"/>
                <w:sz w:val="20"/>
                <w:szCs w:val="20"/>
              </w:rPr>
              <w:t>10</w:t>
            </w:r>
          </w:p>
        </w:tc>
        <w:tc>
          <w:tcPr>
            <w:tcW w:w="1021" w:type="dxa"/>
            <w:tcBorders>
              <w:top w:val="single" w:sz="8" w:space="0" w:color="00000A"/>
              <w:left w:val="single" w:sz="4" w:space="0" w:color="00000A"/>
              <w:bottom w:val="single" w:sz="4" w:space="0" w:color="00000A"/>
              <w:right w:val="single" w:sz="4" w:space="0" w:color="00000A"/>
            </w:tcBorders>
            <w:shd w:fill="auto" w:val="clear"/>
          </w:tcPr>
          <w:p>
            <w:pPr>
              <w:pStyle w:val="Default"/>
              <w:jc w:val="center"/>
              <w:rPr>
                <w:rFonts w:ascii="Calibri" w:hAnsi="Calibri"/>
                <w:color w:val="000000"/>
                <w:sz w:val="20"/>
                <w:szCs w:val="20"/>
              </w:rPr>
            </w:pPr>
            <w:r>
              <w:rPr>
                <w:rFonts w:cs="Times New Roman" w:ascii="Calibri" w:hAnsi="Calibri"/>
                <w:color w:val="000000"/>
                <w:sz w:val="20"/>
                <w:szCs w:val="20"/>
              </w:rPr>
              <w:t>10</w:t>
            </w:r>
          </w:p>
        </w:tc>
        <w:tc>
          <w:tcPr>
            <w:tcW w:w="1144" w:type="dxa"/>
            <w:tcBorders>
              <w:top w:val="single" w:sz="8" w:space="0" w:color="00000A"/>
              <w:left w:val="single" w:sz="4" w:space="0" w:color="00000A"/>
              <w:bottom w:val="single" w:sz="4" w:space="0" w:color="00000A"/>
              <w:right w:val="single" w:sz="4" w:space="0" w:color="00000A"/>
            </w:tcBorders>
            <w:shd w:fill="auto" w:val="clear"/>
          </w:tcPr>
          <w:p>
            <w:pPr>
              <w:pStyle w:val="Default"/>
              <w:jc w:val="center"/>
              <w:rPr>
                <w:rFonts w:ascii="Calibri" w:hAnsi="Calibri"/>
                <w:color w:val="000000"/>
                <w:sz w:val="20"/>
                <w:szCs w:val="20"/>
              </w:rPr>
            </w:pPr>
            <w:r>
              <w:rPr>
                <w:rFonts w:cs="Times New Roman" w:ascii="Calibri" w:hAnsi="Calibri"/>
                <w:color w:val="000000"/>
                <w:sz w:val="20"/>
                <w:szCs w:val="20"/>
              </w:rPr>
              <w:t>10</w:t>
            </w:r>
          </w:p>
        </w:tc>
      </w:tr>
      <w:tr>
        <w:trPr>
          <w:trHeight w:val="900" w:hRule="atLeast"/>
        </w:trPr>
        <w:tc>
          <w:tcPr>
            <w:tcW w:w="4360" w:type="dxa"/>
            <w:tcBorders>
              <w:top w:val="single" w:sz="8" w:space="0" w:color="00000A"/>
              <w:left w:val="single" w:sz="8" w:space="0" w:color="00000A"/>
              <w:bottom w:val="single" w:sz="4" w:space="0" w:color="00000A"/>
              <w:right w:val="single" w:sz="8"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Incarico di attribuzione di mansioni superiori attribuito con Provvedimento formale, (Punti 0,25 per ogni mese )</w:t>
            </w:r>
          </w:p>
        </w:tc>
        <w:tc>
          <w:tcPr>
            <w:tcW w:w="1124" w:type="dxa"/>
            <w:tcBorders>
              <w:top w:val="single" w:sz="8" w:space="0" w:color="00000A"/>
              <w:left w:val="single" w:sz="4" w:space="0" w:color="00000A"/>
              <w:bottom w:val="single" w:sz="4" w:space="0" w:color="00000A"/>
              <w:right w:val="single" w:sz="4" w:space="0" w:color="00000A"/>
            </w:tcBorders>
            <w:shd w:fill="auto" w:val="clear"/>
          </w:tcPr>
          <w:p>
            <w:pPr>
              <w:pStyle w:val="Default"/>
              <w:jc w:val="center"/>
              <w:rPr>
                <w:rFonts w:ascii="Calibri" w:hAnsi="Calibri" w:cs="Times New Roman"/>
                <w:color w:val="000000"/>
                <w:sz w:val="20"/>
                <w:szCs w:val="20"/>
              </w:rPr>
            </w:pPr>
            <w:r>
              <w:rPr>
                <w:rFonts w:cs="Times New Roman" w:ascii="Calibri" w:hAnsi="Calibri"/>
                <w:color w:val="000000"/>
                <w:sz w:val="20"/>
                <w:szCs w:val="20"/>
              </w:rPr>
            </w:r>
          </w:p>
        </w:tc>
        <w:tc>
          <w:tcPr>
            <w:tcW w:w="1251" w:type="dxa"/>
            <w:tcBorders>
              <w:top w:val="single" w:sz="8" w:space="0" w:color="00000A"/>
              <w:left w:val="single" w:sz="4" w:space="0" w:color="00000A"/>
              <w:bottom w:val="single" w:sz="4" w:space="0" w:color="00000A"/>
              <w:right w:val="single" w:sz="4" w:space="0" w:color="00000A"/>
            </w:tcBorders>
            <w:shd w:fill="auto" w:val="clear"/>
          </w:tcPr>
          <w:p>
            <w:pPr>
              <w:pStyle w:val="Default"/>
              <w:jc w:val="center"/>
              <w:rPr>
                <w:rFonts w:ascii="Calibri" w:hAnsi="Calibri" w:cs="Times New Roman"/>
                <w:color w:val="000000"/>
                <w:sz w:val="20"/>
                <w:szCs w:val="20"/>
              </w:rPr>
            </w:pPr>
            <w:r>
              <w:rPr>
                <w:rFonts w:cs="Times New Roman" w:ascii="Calibri" w:hAnsi="Calibri"/>
                <w:color w:val="000000"/>
                <w:sz w:val="20"/>
                <w:szCs w:val="20"/>
              </w:rPr>
            </w:r>
          </w:p>
        </w:tc>
        <w:tc>
          <w:tcPr>
            <w:tcW w:w="1021" w:type="dxa"/>
            <w:tcBorders>
              <w:top w:val="single" w:sz="8" w:space="0" w:color="00000A"/>
              <w:left w:val="single" w:sz="4" w:space="0" w:color="00000A"/>
              <w:bottom w:val="single" w:sz="4" w:space="0" w:color="00000A"/>
              <w:right w:val="single" w:sz="4" w:space="0" w:color="00000A"/>
            </w:tcBorders>
            <w:shd w:fill="auto" w:val="clear"/>
          </w:tcPr>
          <w:p>
            <w:pPr>
              <w:pStyle w:val="Default"/>
              <w:jc w:val="center"/>
              <w:rPr>
                <w:rFonts w:ascii="Calibri" w:hAnsi="Calibri" w:cs="Times New Roman"/>
                <w:color w:val="000000"/>
                <w:sz w:val="20"/>
                <w:szCs w:val="20"/>
              </w:rPr>
            </w:pPr>
            <w:r>
              <w:rPr>
                <w:rFonts w:cs="Times New Roman" w:ascii="Calibri" w:hAnsi="Calibri"/>
                <w:color w:val="000000"/>
                <w:sz w:val="20"/>
                <w:szCs w:val="20"/>
              </w:rPr>
            </w:r>
          </w:p>
        </w:tc>
        <w:tc>
          <w:tcPr>
            <w:tcW w:w="1144" w:type="dxa"/>
            <w:tcBorders>
              <w:top w:val="single" w:sz="8" w:space="0" w:color="00000A"/>
              <w:left w:val="single" w:sz="4" w:space="0" w:color="00000A"/>
              <w:bottom w:val="single" w:sz="4" w:space="0" w:color="00000A"/>
              <w:right w:val="single" w:sz="4" w:space="0" w:color="00000A"/>
            </w:tcBorders>
            <w:shd w:fill="auto" w:val="clear"/>
          </w:tcPr>
          <w:p>
            <w:pPr>
              <w:pStyle w:val="Default"/>
              <w:jc w:val="center"/>
              <w:rPr>
                <w:rFonts w:ascii="Calibri" w:hAnsi="Calibri" w:cs="Times New Roman"/>
                <w:color w:val="000000"/>
                <w:sz w:val="20"/>
                <w:szCs w:val="20"/>
              </w:rPr>
            </w:pPr>
            <w:r>
              <w:rPr>
                <w:rFonts w:cs="Times New Roman" w:ascii="Calibri" w:hAnsi="Calibri"/>
                <w:color w:val="000000"/>
                <w:sz w:val="20"/>
                <w:szCs w:val="20"/>
              </w:rPr>
            </w:r>
          </w:p>
        </w:tc>
      </w:tr>
      <w:tr>
        <w:trPr>
          <w:trHeight w:val="900" w:hRule="atLeast"/>
        </w:trPr>
        <w:tc>
          <w:tcPr>
            <w:tcW w:w="4360" w:type="dxa"/>
            <w:tcBorders>
              <w:top w:val="single" w:sz="8" w:space="0" w:color="00000A"/>
              <w:left w:val="single" w:sz="8" w:space="0" w:color="00000A"/>
              <w:bottom w:val="single" w:sz="4" w:space="0" w:color="00000A"/>
              <w:right w:val="single" w:sz="8" w:space="0" w:color="00000A"/>
            </w:tcBorders>
            <w:shd w:fill="auto" w:val="clear"/>
            <w:vAlign w:val="bottom"/>
          </w:tcPr>
          <w:p>
            <w:pPr>
              <w:pStyle w:val="ListParagraph"/>
              <w:ind w:left="0" w:right="0" w:hanging="0"/>
              <w:rPr>
                <w:rFonts w:ascii="Calibri" w:hAnsi="Calibri"/>
                <w:color w:val="000000"/>
                <w:sz w:val="20"/>
                <w:szCs w:val="20"/>
              </w:rPr>
            </w:pPr>
            <w:r>
              <w:rPr>
                <w:rFonts w:eastAsia="Calibri" w:ascii="Calibri" w:hAnsi="Calibri"/>
                <w:color w:val="000000"/>
                <w:sz w:val="20"/>
                <w:szCs w:val="20"/>
                <w:lang w:eastAsia="en-US"/>
              </w:rPr>
              <w:t>Partecipazione a progetti o iniziative specifiche documentate da apposito provvedimento formale.</w:t>
            </w:r>
          </w:p>
          <w:p>
            <w:pPr>
              <w:pStyle w:val="ListParagraph"/>
              <w:ind w:left="0" w:right="0" w:hanging="0"/>
              <w:jc w:val="both"/>
              <w:rPr>
                <w:rFonts w:ascii="Calibri" w:hAnsi="Calibri"/>
                <w:color w:val="000000"/>
                <w:sz w:val="20"/>
                <w:szCs w:val="20"/>
              </w:rPr>
            </w:pPr>
            <w:r>
              <w:rPr>
                <w:rFonts w:eastAsia="Calibri" w:ascii="Calibri" w:hAnsi="Calibri"/>
                <w:color w:val="000000"/>
                <w:sz w:val="20"/>
                <w:szCs w:val="20"/>
                <w:lang w:eastAsia="en-US"/>
              </w:rPr>
              <w:t>(Punti 0,25 per ogni mese )</w:t>
            </w:r>
          </w:p>
        </w:tc>
        <w:tc>
          <w:tcPr>
            <w:tcW w:w="1124" w:type="dxa"/>
            <w:tcBorders>
              <w:top w:val="single" w:sz="8" w:space="0" w:color="00000A"/>
              <w:left w:val="single" w:sz="4" w:space="0" w:color="00000A"/>
              <w:bottom w:val="single" w:sz="4" w:space="0" w:color="00000A"/>
              <w:right w:val="single" w:sz="4" w:space="0" w:color="00000A"/>
            </w:tcBorders>
            <w:shd w:fill="auto" w:val="clear"/>
          </w:tcPr>
          <w:p>
            <w:pPr>
              <w:pStyle w:val="Default"/>
              <w:jc w:val="center"/>
              <w:rPr>
                <w:rFonts w:ascii="Calibri" w:hAnsi="Calibri" w:cs="Times New Roman"/>
                <w:color w:val="000000"/>
                <w:sz w:val="20"/>
                <w:szCs w:val="20"/>
              </w:rPr>
            </w:pPr>
            <w:r>
              <w:rPr>
                <w:rFonts w:cs="Times New Roman" w:ascii="Calibri" w:hAnsi="Calibri"/>
                <w:color w:val="000000"/>
                <w:sz w:val="20"/>
                <w:szCs w:val="20"/>
              </w:rPr>
            </w:r>
          </w:p>
        </w:tc>
        <w:tc>
          <w:tcPr>
            <w:tcW w:w="1251" w:type="dxa"/>
            <w:tcBorders>
              <w:top w:val="single" w:sz="8" w:space="0" w:color="00000A"/>
              <w:left w:val="single" w:sz="4" w:space="0" w:color="00000A"/>
              <w:bottom w:val="single" w:sz="4" w:space="0" w:color="00000A"/>
              <w:right w:val="single" w:sz="4" w:space="0" w:color="00000A"/>
            </w:tcBorders>
            <w:shd w:fill="auto" w:val="clear"/>
          </w:tcPr>
          <w:p>
            <w:pPr>
              <w:pStyle w:val="Default"/>
              <w:jc w:val="center"/>
              <w:rPr>
                <w:rFonts w:ascii="Calibri" w:hAnsi="Calibri" w:cs="Times New Roman"/>
                <w:color w:val="000000"/>
                <w:sz w:val="20"/>
                <w:szCs w:val="20"/>
              </w:rPr>
            </w:pPr>
            <w:r>
              <w:rPr>
                <w:rFonts w:cs="Times New Roman" w:ascii="Calibri" w:hAnsi="Calibri"/>
                <w:color w:val="000000"/>
                <w:sz w:val="20"/>
                <w:szCs w:val="20"/>
              </w:rPr>
            </w:r>
          </w:p>
        </w:tc>
        <w:tc>
          <w:tcPr>
            <w:tcW w:w="1021" w:type="dxa"/>
            <w:tcBorders>
              <w:top w:val="single" w:sz="8" w:space="0" w:color="00000A"/>
              <w:left w:val="single" w:sz="4" w:space="0" w:color="00000A"/>
              <w:bottom w:val="single" w:sz="4" w:space="0" w:color="00000A"/>
              <w:right w:val="single" w:sz="4" w:space="0" w:color="00000A"/>
            </w:tcBorders>
            <w:shd w:fill="auto" w:val="clear"/>
          </w:tcPr>
          <w:p>
            <w:pPr>
              <w:pStyle w:val="Default"/>
              <w:jc w:val="center"/>
              <w:rPr>
                <w:rFonts w:ascii="Calibri" w:hAnsi="Calibri" w:cs="Times New Roman"/>
                <w:color w:val="000000"/>
                <w:sz w:val="20"/>
                <w:szCs w:val="20"/>
              </w:rPr>
            </w:pPr>
            <w:r>
              <w:rPr>
                <w:rFonts w:cs="Times New Roman" w:ascii="Calibri" w:hAnsi="Calibri"/>
                <w:color w:val="000000"/>
                <w:sz w:val="20"/>
                <w:szCs w:val="20"/>
              </w:rPr>
            </w:r>
          </w:p>
        </w:tc>
        <w:tc>
          <w:tcPr>
            <w:tcW w:w="1144" w:type="dxa"/>
            <w:tcBorders>
              <w:top w:val="single" w:sz="8" w:space="0" w:color="00000A"/>
              <w:left w:val="single" w:sz="4" w:space="0" w:color="00000A"/>
              <w:bottom w:val="single" w:sz="4" w:space="0" w:color="00000A"/>
              <w:right w:val="single" w:sz="4" w:space="0" w:color="00000A"/>
            </w:tcBorders>
            <w:shd w:fill="auto" w:val="clear"/>
          </w:tcPr>
          <w:p>
            <w:pPr>
              <w:pStyle w:val="Default"/>
              <w:jc w:val="center"/>
              <w:rPr>
                <w:rFonts w:ascii="Calibri" w:hAnsi="Calibri" w:cs="Times New Roman"/>
                <w:color w:val="000000"/>
                <w:sz w:val="20"/>
                <w:szCs w:val="20"/>
              </w:rPr>
            </w:pPr>
            <w:r>
              <w:rPr>
                <w:rFonts w:cs="Times New Roman" w:ascii="Calibri" w:hAnsi="Calibri"/>
                <w:color w:val="000000"/>
                <w:sz w:val="20"/>
                <w:szCs w:val="20"/>
              </w:rPr>
            </w:r>
          </w:p>
        </w:tc>
      </w:tr>
    </w:tbl>
    <w:p>
      <w:pPr>
        <w:pStyle w:val="Normal"/>
        <w:ind w:left="0" w:right="0" w:hanging="0"/>
        <w:jc w:val="both"/>
        <w:rPr>
          <w:rFonts w:ascii="Calibri" w:hAnsi="Calibri"/>
          <w:b/>
          <w:b/>
          <w:color w:val="000000"/>
          <w:sz w:val="20"/>
          <w:szCs w:val="20"/>
        </w:rPr>
      </w:pPr>
      <w:r>
        <w:rPr>
          <w:rFonts w:ascii="Calibri" w:hAnsi="Calibri"/>
          <w:b/>
          <w:color w:val="000000"/>
          <w:sz w:val="20"/>
          <w:szCs w:val="20"/>
        </w:rPr>
      </w:r>
    </w:p>
    <w:p>
      <w:pPr>
        <w:pStyle w:val="Normal"/>
        <w:numPr>
          <w:ilvl w:val="0"/>
          <w:numId w:val="3"/>
        </w:numPr>
        <w:jc w:val="both"/>
        <w:rPr/>
      </w:pPr>
      <w:r>
        <w:rPr>
          <w:rFonts w:ascii="Calibri" w:hAnsi="Calibri"/>
          <w:b w:val="false"/>
          <w:bCs w:val="false"/>
          <w:color w:val="000000"/>
          <w:sz w:val="20"/>
          <w:szCs w:val="20"/>
        </w:rPr>
        <w:t>L’incarico temporaneo di attribuzione di mansioni superiori deve essere stato</w:t>
      </w:r>
      <w:r>
        <w:rPr>
          <w:rFonts w:ascii="Calibri" w:hAnsi="Calibri"/>
          <w:b/>
          <w:color w:val="000000"/>
          <w:sz w:val="20"/>
          <w:szCs w:val="20"/>
        </w:rPr>
        <w:t xml:space="preserve"> </w:t>
      </w:r>
      <w:r>
        <w:rPr>
          <w:rFonts w:ascii="Calibri" w:hAnsi="Calibri"/>
          <w:color w:val="000000"/>
          <w:sz w:val="20"/>
          <w:szCs w:val="20"/>
        </w:rPr>
        <w:t>attribuito preventivamente con provvedimento formale, secondo quanto stabilito da norme di legge e contrattuali. Non sarà valutato il periodo superiore ai 12 mesi.</w:t>
      </w:r>
    </w:p>
    <w:p>
      <w:pPr>
        <w:pStyle w:val="Normal"/>
        <w:numPr>
          <w:ilvl w:val="0"/>
          <w:numId w:val="4"/>
        </w:numPr>
        <w:jc w:val="both"/>
        <w:rPr/>
      </w:pPr>
      <w:r>
        <w:rPr>
          <w:rFonts w:ascii="Calibri" w:hAnsi="Calibri"/>
          <w:color w:val="000000"/>
          <w:sz w:val="20"/>
          <w:szCs w:val="20"/>
        </w:rPr>
        <w:t xml:space="preserve">Per partecipazione a progetti o iniziative specifiche si intende la partecipazione, documentata da apposito provvedimento, a programmi/progetti/iniziative specifiche intersettoriali di rilievo quali, a titolo esemplificativo, progetti di ricerca, di sperimentazione e/o condivisione di buone prassi, </w:t>
      </w:r>
      <w:r>
        <w:rPr>
          <w:rFonts w:ascii="Calibri" w:hAnsi="Calibri"/>
          <w:b w:val="false"/>
          <w:bCs w:val="false"/>
          <w:color w:val="000000"/>
          <w:sz w:val="20"/>
          <w:szCs w:val="20"/>
        </w:rPr>
        <w:t>di sviluppo a carattere innovativo/sperimentale, non remunerabili in altro modo.</w:t>
      </w:r>
    </w:p>
    <w:p>
      <w:pPr>
        <w:pStyle w:val="Normal"/>
        <w:ind w:left="0" w:right="0" w:hanging="0"/>
        <w:jc w:val="both"/>
        <w:rPr/>
      </w:pPr>
      <w:r>
        <w:rPr>
          <w:rFonts w:ascii="Calibri" w:hAnsi="Calibri"/>
          <w:b w:val="false"/>
          <w:bCs w:val="false"/>
          <w:i w:val="false"/>
          <w:iCs w:val="false"/>
          <w:color w:val="000000"/>
          <w:sz w:val="20"/>
          <w:szCs w:val="20"/>
          <w:u w:val="single"/>
        </w:rPr>
        <w:t>B) TITOLI CULTURALI E PROFESSIONALI</w:t>
      </w:r>
    </w:p>
    <w:p>
      <w:pPr>
        <w:pStyle w:val="Normal"/>
        <w:jc w:val="both"/>
        <w:rPr/>
      </w:pPr>
      <w:r>
        <w:rPr>
          <w:rFonts w:ascii="Calibri" w:hAnsi="Calibri"/>
          <w:color w:val="000000"/>
          <w:sz w:val="20"/>
          <w:szCs w:val="20"/>
        </w:rPr>
        <w:t xml:space="preserve">Per i titoli di studio e per i corsi qualificanti, il punteggio verrà attribuito ai soli titoli conseguiti nel periodo intercorrente tra la data dell’ultimo inquadramento del dipendente nella posizione economica immediatamente inferiore a quella per cui si concorre ed il 31 dicembre </w:t>
      </w:r>
      <w:r>
        <w:rPr>
          <w:rFonts w:eastAsia="Times New Roman" w:cs="Times New Roman" w:ascii="Calibri" w:hAnsi="Calibri"/>
          <w:color w:val="000000"/>
          <w:kern w:val="0"/>
          <w:sz w:val="20"/>
          <w:szCs w:val="20"/>
          <w:lang w:val="it-IT" w:eastAsia="it-IT" w:bidi="ar-SA"/>
        </w:rPr>
        <w:t>2021.</w:t>
      </w:r>
    </w:p>
    <w:p>
      <w:pPr>
        <w:pStyle w:val="Normal"/>
        <w:ind w:left="0" w:right="0" w:hanging="0"/>
        <w:jc w:val="both"/>
        <w:rPr>
          <w:b w:val="false"/>
          <w:b w:val="false"/>
          <w:bCs w:val="false"/>
        </w:rPr>
      </w:pPr>
      <w:r>
        <w:rPr>
          <w:rFonts w:ascii="Calibri" w:hAnsi="Calibri"/>
          <w:b w:val="false"/>
          <w:bCs w:val="false"/>
          <w:color w:val="000000"/>
          <w:sz w:val="20"/>
          <w:szCs w:val="20"/>
        </w:rPr>
        <w:t>Il punteggio massimo attribuibile è il seguente:</w:t>
      </w:r>
    </w:p>
    <w:p>
      <w:pPr>
        <w:pStyle w:val="ListParagraph"/>
        <w:ind w:left="0" w:right="0" w:hanging="0"/>
        <w:jc w:val="both"/>
        <w:rPr>
          <w:rFonts w:ascii="Calibri" w:hAnsi="Calibri"/>
          <w:b/>
          <w:b/>
          <w:color w:val="000000"/>
          <w:sz w:val="20"/>
          <w:szCs w:val="20"/>
        </w:rPr>
      </w:pPr>
      <w:r>
        <w:rPr>
          <w:rFonts w:ascii="Calibri" w:hAnsi="Calibri"/>
          <w:b/>
          <w:color w:val="000000"/>
          <w:sz w:val="20"/>
          <w:szCs w:val="20"/>
        </w:rPr>
      </w:r>
    </w:p>
    <w:tbl>
      <w:tblPr>
        <w:tblW w:w="8963" w:type="dxa"/>
        <w:jc w:val="left"/>
        <w:tblInd w:w="55" w:type="dxa"/>
        <w:tblCellMar>
          <w:top w:w="0" w:type="dxa"/>
          <w:left w:w="50" w:type="dxa"/>
          <w:bottom w:w="0" w:type="dxa"/>
          <w:right w:w="70" w:type="dxa"/>
        </w:tblCellMar>
        <w:tblLook w:val="04a0"/>
      </w:tblPr>
      <w:tblGrid>
        <w:gridCol w:w="4696"/>
        <w:gridCol w:w="1132"/>
        <w:gridCol w:w="1028"/>
        <w:gridCol w:w="1074"/>
        <w:gridCol w:w="1033"/>
      </w:tblGrid>
      <w:tr>
        <w:trPr>
          <w:trHeight w:val="315" w:hRule="atLeast"/>
        </w:trPr>
        <w:tc>
          <w:tcPr>
            <w:tcW w:w="4696" w:type="dxa"/>
            <w:vMerge w:val="restart"/>
            <w:tcBorders>
              <w:top w:val="single" w:sz="8" w:space="0" w:color="00000A"/>
              <w:left w:val="single" w:sz="8" w:space="0" w:color="00000A"/>
              <w:bottom w:val="single" w:sz="8" w:space="0" w:color="000001"/>
              <w:right w:val="single" w:sz="8"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TITOLI CULTURALI E PROFESSIONALI</w:t>
            </w:r>
          </w:p>
        </w:tc>
        <w:tc>
          <w:tcPr>
            <w:tcW w:w="4267" w:type="dxa"/>
            <w:gridSpan w:val="4"/>
            <w:tcBorders>
              <w:top w:val="single" w:sz="8" w:space="0" w:color="00000A"/>
              <w:left w:val="single" w:sz="8" w:space="0" w:color="00000A"/>
              <w:bottom w:val="single" w:sz="8" w:space="0" w:color="00000A"/>
              <w:right w:val="single" w:sz="8" w:space="0" w:color="000001"/>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 </w:t>
            </w:r>
          </w:p>
        </w:tc>
      </w:tr>
      <w:tr>
        <w:trPr>
          <w:trHeight w:val="315" w:hRule="atLeast"/>
        </w:trPr>
        <w:tc>
          <w:tcPr>
            <w:tcW w:w="4696" w:type="dxa"/>
            <w:vMerge w:val="continue"/>
            <w:tcBorders>
              <w:top w:val="single" w:sz="8" w:space="0" w:color="00000A"/>
              <w:left w:val="single" w:sz="8" w:space="0" w:color="00000A"/>
              <w:bottom w:val="single" w:sz="8" w:space="0" w:color="000001"/>
              <w:right w:val="single" w:sz="8" w:space="0" w:color="00000A"/>
            </w:tcBorders>
            <w:shd w:fill="auto" w:val="clear"/>
            <w:vAlign w:val="center"/>
          </w:tcPr>
          <w:p>
            <w:pPr>
              <w:pStyle w:val="Normal"/>
              <w:rPr>
                <w:rFonts w:ascii="Calibri" w:hAnsi="Calibri" w:eastAsia="Calibri"/>
                <w:color w:val="000000"/>
                <w:sz w:val="20"/>
                <w:szCs w:val="20"/>
                <w:lang w:eastAsia="en-US"/>
              </w:rPr>
            </w:pPr>
            <w:r>
              <w:rPr>
                <w:rFonts w:eastAsia="Calibri" w:ascii="Calibri" w:hAnsi="Calibri"/>
                <w:color w:val="000000"/>
                <w:sz w:val="20"/>
                <w:szCs w:val="20"/>
                <w:lang w:eastAsia="en-US"/>
              </w:rPr>
            </w:r>
          </w:p>
        </w:tc>
        <w:tc>
          <w:tcPr>
            <w:tcW w:w="1132" w:type="dxa"/>
            <w:tcBorders>
              <w:top w:val="single" w:sz="8" w:space="0" w:color="000001"/>
              <w:left w:val="single" w:sz="8" w:space="0" w:color="00000A"/>
              <w:bottom w:val="single" w:sz="8" w:space="0" w:color="00000A"/>
              <w:right w:val="single" w:sz="8"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CAT. A</w:t>
            </w:r>
          </w:p>
        </w:tc>
        <w:tc>
          <w:tcPr>
            <w:tcW w:w="1028" w:type="dxa"/>
            <w:tcBorders>
              <w:top w:val="single" w:sz="8" w:space="0" w:color="000001"/>
              <w:left w:val="single" w:sz="8" w:space="0" w:color="00000A"/>
              <w:bottom w:val="single" w:sz="8" w:space="0" w:color="00000A"/>
              <w:right w:val="single" w:sz="8"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CAT. B</w:t>
            </w:r>
          </w:p>
        </w:tc>
        <w:tc>
          <w:tcPr>
            <w:tcW w:w="1074" w:type="dxa"/>
            <w:tcBorders>
              <w:top w:val="single" w:sz="8" w:space="0" w:color="000001"/>
              <w:left w:val="single" w:sz="8" w:space="0" w:color="00000A"/>
              <w:bottom w:val="single" w:sz="8" w:space="0" w:color="00000A"/>
              <w:right w:val="single" w:sz="8"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CAT.C</w:t>
            </w:r>
          </w:p>
        </w:tc>
        <w:tc>
          <w:tcPr>
            <w:tcW w:w="1033" w:type="dxa"/>
            <w:tcBorders>
              <w:top w:val="single" w:sz="8" w:space="0" w:color="000001"/>
              <w:left w:val="single" w:sz="8" w:space="0" w:color="00000A"/>
              <w:bottom w:val="single" w:sz="8" w:space="0" w:color="00000A"/>
              <w:right w:val="single" w:sz="8"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CAT. D</w:t>
            </w:r>
          </w:p>
        </w:tc>
      </w:tr>
      <w:tr>
        <w:trPr>
          <w:trHeight w:val="315" w:hRule="atLeast"/>
        </w:trPr>
        <w:tc>
          <w:tcPr>
            <w:tcW w:w="4696" w:type="dxa"/>
            <w:tcBorders>
              <w:top w:val="single" w:sz="8" w:space="0" w:color="000001"/>
              <w:left w:val="single" w:sz="8" w:space="0" w:color="00000A"/>
              <w:bottom w:val="single" w:sz="8" w:space="0" w:color="00000A"/>
              <w:right w:val="single" w:sz="8"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Punteggio massimo attribuibile ai titoli di studio e corsi qualificanti</w:t>
            </w:r>
          </w:p>
        </w:tc>
        <w:tc>
          <w:tcPr>
            <w:tcW w:w="1132" w:type="dxa"/>
            <w:tcBorders>
              <w:top w:val="single" w:sz="8" w:space="0" w:color="000001"/>
              <w:left w:val="single" w:sz="8" w:space="0" w:color="00000A"/>
              <w:bottom w:val="single" w:sz="4" w:space="0" w:color="00000A"/>
              <w:right w:val="single" w:sz="4"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10</w:t>
            </w:r>
          </w:p>
        </w:tc>
        <w:tc>
          <w:tcPr>
            <w:tcW w:w="1028" w:type="dxa"/>
            <w:tcBorders>
              <w:top w:val="single" w:sz="8" w:space="0" w:color="000001"/>
              <w:left w:val="single" w:sz="8" w:space="0" w:color="00000A"/>
              <w:bottom w:val="single" w:sz="4" w:space="0" w:color="00000A"/>
              <w:right w:val="single" w:sz="4"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10</w:t>
            </w:r>
          </w:p>
        </w:tc>
        <w:tc>
          <w:tcPr>
            <w:tcW w:w="1074" w:type="dxa"/>
            <w:tcBorders>
              <w:top w:val="single" w:sz="8" w:space="0" w:color="000001"/>
              <w:left w:val="single" w:sz="8" w:space="0" w:color="00000A"/>
              <w:bottom w:val="single" w:sz="4" w:space="0" w:color="00000A"/>
              <w:right w:val="single" w:sz="4"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10</w:t>
            </w:r>
          </w:p>
        </w:tc>
        <w:tc>
          <w:tcPr>
            <w:tcW w:w="1033" w:type="dxa"/>
            <w:tcBorders>
              <w:top w:val="single" w:sz="8" w:space="0" w:color="000001"/>
              <w:left w:val="single" w:sz="8" w:space="0" w:color="00000A"/>
              <w:bottom w:val="single" w:sz="4" w:space="0" w:color="00000A"/>
              <w:right w:val="single" w:sz="8"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10</w:t>
            </w:r>
          </w:p>
        </w:tc>
      </w:tr>
    </w:tbl>
    <w:p>
      <w:pPr>
        <w:pStyle w:val="Normal"/>
        <w:ind w:left="0" w:right="0" w:hanging="0"/>
        <w:jc w:val="both"/>
        <w:rPr>
          <w:rFonts w:ascii="Calibri" w:hAnsi="Calibri"/>
          <w:b/>
          <w:b/>
          <w:color w:val="000000"/>
          <w:sz w:val="20"/>
          <w:szCs w:val="20"/>
        </w:rPr>
      </w:pPr>
      <w:r>
        <w:rPr>
          <w:rFonts w:ascii="Calibri" w:hAnsi="Calibri"/>
          <w:b/>
          <w:color w:val="000000"/>
          <w:sz w:val="20"/>
          <w:szCs w:val="20"/>
        </w:rPr>
      </w:r>
    </w:p>
    <w:p>
      <w:pPr>
        <w:pStyle w:val="Normal"/>
        <w:shd w:val="clear" w:color="auto" w:fill="FFFFFF"/>
        <w:jc w:val="both"/>
        <w:rPr>
          <w:rFonts w:ascii="Calibri" w:hAnsi="Calibri"/>
          <w:color w:val="000000"/>
          <w:sz w:val="20"/>
          <w:szCs w:val="20"/>
        </w:rPr>
      </w:pPr>
      <w:r>
        <w:rPr>
          <w:rFonts w:eastAsia="Calibri" w:ascii="Calibri" w:hAnsi="Calibri"/>
          <w:color w:val="000000"/>
          <w:sz w:val="20"/>
          <w:szCs w:val="20"/>
          <w:lang w:eastAsia="en-US"/>
        </w:rPr>
        <w:t>Saranno valutati esclusivamente, i titoli di studio ulteriori, di livello pari o superiore, rispetto a quelli previsti per l’accesso alla categoria di appartenenza.</w:t>
      </w:r>
    </w:p>
    <w:p>
      <w:pPr>
        <w:pStyle w:val="Normal"/>
        <w:jc w:val="both"/>
        <w:rPr>
          <w:rFonts w:ascii="Calibri" w:hAnsi="Calibri"/>
          <w:color w:val="000000"/>
          <w:sz w:val="20"/>
          <w:szCs w:val="20"/>
        </w:rPr>
      </w:pPr>
      <w:r>
        <w:rPr>
          <w:rFonts w:eastAsia="Calibri" w:ascii="Calibri" w:hAnsi="Calibri"/>
          <w:color w:val="000000"/>
          <w:sz w:val="20"/>
          <w:szCs w:val="20"/>
          <w:lang w:eastAsia="en-US"/>
        </w:rPr>
        <w:tab/>
      </w:r>
    </w:p>
    <w:p>
      <w:pPr>
        <w:pStyle w:val="Normal"/>
        <w:numPr>
          <w:ilvl w:val="0"/>
          <w:numId w:val="8"/>
        </w:numPr>
        <w:spacing w:lineRule="exact" w:line="240"/>
        <w:jc w:val="both"/>
        <w:rPr>
          <w:rFonts w:ascii="Calibri" w:hAnsi="Calibri"/>
          <w:color w:val="000000"/>
          <w:sz w:val="20"/>
          <w:szCs w:val="20"/>
        </w:rPr>
      </w:pPr>
      <w:r>
        <w:rPr>
          <w:rFonts w:eastAsia="Calibri" w:ascii="Calibri" w:hAnsi="Calibri"/>
          <w:color w:val="000000"/>
          <w:sz w:val="20"/>
          <w:szCs w:val="20"/>
          <w:lang w:eastAsia="en-US"/>
        </w:rPr>
        <w:t>categoria A  - licenza media</w:t>
      </w:r>
    </w:p>
    <w:p>
      <w:pPr>
        <w:pStyle w:val="Normal"/>
        <w:numPr>
          <w:ilvl w:val="0"/>
          <w:numId w:val="8"/>
        </w:numPr>
        <w:spacing w:lineRule="exact" w:line="240"/>
        <w:jc w:val="both"/>
        <w:rPr>
          <w:rFonts w:ascii="Calibri" w:hAnsi="Calibri"/>
          <w:color w:val="000000"/>
          <w:sz w:val="20"/>
          <w:szCs w:val="20"/>
        </w:rPr>
      </w:pPr>
      <w:r>
        <w:rPr>
          <w:rFonts w:eastAsia="Calibri" w:ascii="Calibri" w:hAnsi="Calibri"/>
          <w:color w:val="000000"/>
          <w:sz w:val="20"/>
          <w:szCs w:val="20"/>
          <w:lang w:eastAsia="en-US"/>
        </w:rPr>
        <w:t xml:space="preserve">categoria B - titolo di studio di scuola d’obbligo più eventuale qualificazione professionale; </w:t>
      </w:r>
    </w:p>
    <w:p>
      <w:pPr>
        <w:pStyle w:val="Normal"/>
        <w:numPr>
          <w:ilvl w:val="0"/>
          <w:numId w:val="8"/>
        </w:numPr>
        <w:spacing w:lineRule="exact" w:line="240"/>
        <w:jc w:val="both"/>
        <w:rPr>
          <w:rFonts w:ascii="Calibri" w:hAnsi="Calibri"/>
          <w:color w:val="000000"/>
          <w:sz w:val="20"/>
          <w:szCs w:val="20"/>
        </w:rPr>
      </w:pPr>
      <w:r>
        <w:rPr>
          <w:rFonts w:eastAsia="Calibri" w:ascii="Calibri" w:hAnsi="Calibri"/>
          <w:color w:val="000000"/>
          <w:sz w:val="20"/>
          <w:szCs w:val="20"/>
          <w:lang w:eastAsia="en-US"/>
        </w:rPr>
        <w:t xml:space="preserve">categoria C - diploma di scuola secondaria di secondo grado; </w:t>
      </w:r>
    </w:p>
    <w:p>
      <w:pPr>
        <w:pStyle w:val="Normal"/>
        <w:numPr>
          <w:ilvl w:val="0"/>
          <w:numId w:val="8"/>
        </w:numPr>
        <w:spacing w:lineRule="exact" w:line="240"/>
        <w:jc w:val="both"/>
        <w:rPr/>
      </w:pPr>
      <w:r>
        <w:rPr>
          <w:rFonts w:eastAsia="Calibri" w:ascii="Calibri" w:hAnsi="Calibri"/>
          <w:b w:val="false"/>
          <w:bCs w:val="false"/>
          <w:color w:val="000000"/>
          <w:sz w:val="20"/>
          <w:szCs w:val="20"/>
          <w:lang w:eastAsia="en-US"/>
        </w:rPr>
        <w:t xml:space="preserve">categoria D - diploma di laurea (per diploma di laurea si intende: laurea nuovo e vecchio ordinamento, specialistica, magistrale); </w:t>
      </w:r>
    </w:p>
    <w:p>
      <w:pPr>
        <w:pStyle w:val="Normal"/>
        <w:spacing w:lineRule="exact" w:line="240"/>
        <w:ind w:left="340" w:hanging="0"/>
        <w:jc w:val="both"/>
        <w:rPr>
          <w:rFonts w:ascii="Calibri" w:hAnsi="Calibri"/>
          <w:b/>
          <w:b/>
          <w:color w:val="000000"/>
          <w:sz w:val="20"/>
          <w:szCs w:val="20"/>
        </w:rPr>
      </w:pPr>
      <w:r>
        <w:rPr>
          <w:rFonts w:ascii="Calibri" w:hAnsi="Calibri"/>
          <w:b/>
          <w:color w:val="000000"/>
          <w:sz w:val="20"/>
          <w:szCs w:val="20"/>
        </w:rPr>
      </w:r>
    </w:p>
    <w:tbl>
      <w:tblPr>
        <w:tblW w:w="8900" w:type="dxa"/>
        <w:jc w:val="left"/>
        <w:tblInd w:w="58" w:type="dxa"/>
        <w:tblCellMar>
          <w:top w:w="0" w:type="dxa"/>
          <w:left w:w="50" w:type="dxa"/>
          <w:bottom w:w="0" w:type="dxa"/>
          <w:right w:w="70" w:type="dxa"/>
        </w:tblCellMar>
        <w:tblLook w:val="04a0"/>
      </w:tblPr>
      <w:tblGrid>
        <w:gridCol w:w="4470"/>
        <w:gridCol w:w="963"/>
        <w:gridCol w:w="1247"/>
        <w:gridCol w:w="1136"/>
        <w:gridCol w:w="1084"/>
      </w:tblGrid>
      <w:tr>
        <w:trPr>
          <w:trHeight w:val="450" w:hRule="atLeast"/>
        </w:trPr>
        <w:tc>
          <w:tcPr>
            <w:tcW w:w="4470" w:type="dxa"/>
            <w:tcBorders>
              <w:top w:val="single" w:sz="8" w:space="0" w:color="00000A"/>
              <w:left w:val="single" w:sz="8" w:space="0" w:color="00000A"/>
              <w:bottom w:val="single" w:sz="8" w:space="0" w:color="00000A"/>
              <w:right w:val="single" w:sz="8"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Titoli di studio, corsi qualificanti</w:t>
            </w:r>
          </w:p>
        </w:tc>
        <w:tc>
          <w:tcPr>
            <w:tcW w:w="963" w:type="dxa"/>
            <w:tcBorders>
              <w:top w:val="single" w:sz="8" w:space="0" w:color="00000A"/>
              <w:left w:val="single" w:sz="8" w:space="0" w:color="00000A"/>
              <w:bottom w:val="single" w:sz="8" w:space="0" w:color="00000A"/>
              <w:right w:val="single" w:sz="8" w:space="0" w:color="00000A"/>
            </w:tcBorders>
            <w:shd w:fill="auto" w:val="clear"/>
            <w:vAlign w:val="bottom"/>
          </w:tcPr>
          <w:p>
            <w:pPr>
              <w:pStyle w:val="Normal"/>
              <w:jc w:val="center"/>
              <w:rPr/>
            </w:pPr>
            <w:r>
              <w:rPr>
                <w:rFonts w:eastAsia="Calibri" w:ascii="Calibri" w:hAnsi="Calibri"/>
                <w:color w:val="000000"/>
                <w:sz w:val="20"/>
                <w:szCs w:val="20"/>
                <w:lang w:eastAsia="en-US"/>
              </w:rPr>
              <w:t>CAT. A</w:t>
            </w:r>
          </w:p>
        </w:tc>
        <w:tc>
          <w:tcPr>
            <w:tcW w:w="1247" w:type="dxa"/>
            <w:tcBorders>
              <w:top w:val="single" w:sz="8" w:space="0" w:color="00000A"/>
              <w:left w:val="single" w:sz="8" w:space="0" w:color="00000A"/>
              <w:bottom w:val="single" w:sz="8" w:space="0" w:color="00000A"/>
              <w:right w:val="single" w:sz="8" w:space="0" w:color="00000A"/>
            </w:tcBorders>
            <w:shd w:fill="auto" w:val="clear"/>
            <w:vAlign w:val="bottom"/>
          </w:tcPr>
          <w:p>
            <w:pPr>
              <w:pStyle w:val="Normal"/>
              <w:jc w:val="center"/>
              <w:rPr/>
            </w:pPr>
            <w:r>
              <w:rPr>
                <w:rFonts w:eastAsia="Calibri" w:ascii="Calibri" w:hAnsi="Calibri"/>
                <w:color w:val="000000"/>
                <w:sz w:val="20"/>
                <w:szCs w:val="20"/>
                <w:lang w:eastAsia="en-US"/>
              </w:rPr>
              <w:t>CAT. B</w:t>
            </w:r>
          </w:p>
        </w:tc>
        <w:tc>
          <w:tcPr>
            <w:tcW w:w="1136" w:type="dxa"/>
            <w:tcBorders>
              <w:top w:val="single" w:sz="8" w:space="0" w:color="00000A"/>
              <w:left w:val="single" w:sz="8" w:space="0" w:color="00000A"/>
              <w:bottom w:val="single" w:sz="8" w:space="0" w:color="00000A"/>
              <w:right w:val="single" w:sz="8" w:space="0" w:color="00000A"/>
            </w:tcBorders>
            <w:shd w:fill="auto" w:val="clear"/>
            <w:vAlign w:val="bottom"/>
          </w:tcPr>
          <w:p>
            <w:pPr>
              <w:pStyle w:val="Normal"/>
              <w:jc w:val="center"/>
              <w:rPr/>
            </w:pPr>
            <w:r>
              <w:rPr>
                <w:rFonts w:eastAsia="Calibri" w:ascii="Calibri" w:hAnsi="Calibri"/>
                <w:color w:val="000000"/>
                <w:sz w:val="20"/>
                <w:szCs w:val="20"/>
                <w:lang w:eastAsia="en-US"/>
              </w:rPr>
              <w:t>CAT.C</w:t>
            </w:r>
          </w:p>
        </w:tc>
        <w:tc>
          <w:tcPr>
            <w:tcW w:w="1084" w:type="dxa"/>
            <w:tcBorders>
              <w:top w:val="single" w:sz="8" w:space="0" w:color="00000A"/>
              <w:left w:val="single" w:sz="8" w:space="0" w:color="00000A"/>
              <w:bottom w:val="single" w:sz="8" w:space="0" w:color="00000A"/>
              <w:right w:val="single" w:sz="8" w:space="0" w:color="00000A"/>
            </w:tcBorders>
            <w:shd w:fill="auto" w:val="clear"/>
            <w:vAlign w:val="bottom"/>
          </w:tcPr>
          <w:p>
            <w:pPr>
              <w:pStyle w:val="Normal"/>
              <w:jc w:val="center"/>
              <w:rPr/>
            </w:pPr>
            <w:r>
              <w:rPr>
                <w:rFonts w:eastAsia="Calibri" w:ascii="Calibri" w:hAnsi="Calibri"/>
                <w:color w:val="000000"/>
                <w:sz w:val="20"/>
                <w:szCs w:val="20"/>
                <w:lang w:eastAsia="en-US"/>
              </w:rPr>
              <w:t>CAT. D</w:t>
            </w:r>
          </w:p>
        </w:tc>
      </w:tr>
      <w:tr>
        <w:trPr>
          <w:trHeight w:val="300" w:hRule="atLeast"/>
        </w:trPr>
        <w:tc>
          <w:tcPr>
            <w:tcW w:w="4470" w:type="dxa"/>
            <w:tcBorders>
              <w:top w:val="single" w:sz="8" w:space="0" w:color="00000A"/>
              <w:left w:val="single" w:sz="8" w:space="0" w:color="00000A"/>
              <w:bottom w:val="single" w:sz="8" w:space="0" w:color="00000A"/>
              <w:right w:val="single" w:sz="8"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Punteggio massimo attribuibile</w:t>
            </w:r>
          </w:p>
        </w:tc>
        <w:tc>
          <w:tcPr>
            <w:tcW w:w="963" w:type="dxa"/>
            <w:tcBorders>
              <w:top w:val="single" w:sz="8" w:space="0" w:color="00000A"/>
              <w:left w:val="single" w:sz="8" w:space="0" w:color="00000A"/>
              <w:bottom w:val="single" w:sz="8"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10</w:t>
            </w:r>
          </w:p>
        </w:tc>
        <w:tc>
          <w:tcPr>
            <w:tcW w:w="1247" w:type="dxa"/>
            <w:tcBorders>
              <w:top w:val="single" w:sz="8" w:space="0" w:color="00000A"/>
              <w:left w:val="single" w:sz="8" w:space="0" w:color="00000A"/>
              <w:bottom w:val="single" w:sz="8"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10</w:t>
            </w:r>
          </w:p>
        </w:tc>
        <w:tc>
          <w:tcPr>
            <w:tcW w:w="1136" w:type="dxa"/>
            <w:tcBorders>
              <w:top w:val="single" w:sz="8" w:space="0" w:color="00000A"/>
              <w:left w:val="single" w:sz="8" w:space="0" w:color="00000A"/>
              <w:bottom w:val="single" w:sz="8"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10</w:t>
            </w:r>
          </w:p>
        </w:tc>
        <w:tc>
          <w:tcPr>
            <w:tcW w:w="1084" w:type="dxa"/>
            <w:tcBorders>
              <w:top w:val="single" w:sz="8" w:space="0" w:color="00000A"/>
              <w:left w:val="single" w:sz="8" w:space="0" w:color="00000A"/>
              <w:bottom w:val="single" w:sz="8" w:space="0" w:color="00000A"/>
              <w:right w:val="single" w:sz="8" w:space="0" w:color="00000A"/>
            </w:tcBorders>
            <w:shd w:fill="auto" w:val="clear"/>
            <w:vAlign w:val="bottom"/>
          </w:tcPr>
          <w:p>
            <w:pPr>
              <w:pStyle w:val="Normal"/>
              <w:jc w:val="center"/>
              <w:rPr/>
            </w:pPr>
            <w:r>
              <w:rPr>
                <w:rFonts w:eastAsia="Calibri" w:ascii="Calibri" w:hAnsi="Calibri"/>
                <w:color w:val="000000"/>
                <w:sz w:val="20"/>
                <w:szCs w:val="20"/>
                <w:lang w:eastAsia="en-US"/>
              </w:rPr>
              <w:t>10</w:t>
            </w:r>
          </w:p>
        </w:tc>
      </w:tr>
      <w:tr>
        <w:trPr>
          <w:trHeight w:val="350" w:hRule="atLeast"/>
        </w:trPr>
        <w:tc>
          <w:tcPr>
            <w:tcW w:w="4470" w:type="dxa"/>
            <w:tcBorders>
              <w:top w:val="single" w:sz="4" w:space="0" w:color="00000A"/>
              <w:left w:val="single" w:sz="8" w:space="0" w:color="00000A"/>
              <w:bottom w:val="single" w:sz="4" w:space="0" w:color="00000A"/>
              <w:right w:val="single" w:sz="4"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Attestati e patentini di mestieri specifici</w:t>
            </w:r>
          </w:p>
        </w:tc>
        <w:tc>
          <w:tcPr>
            <w:tcW w:w="963" w:type="dxa"/>
            <w:tcBorders>
              <w:top w:val="single" w:sz="4"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w:t>
            </w:r>
          </w:p>
        </w:tc>
        <w:tc>
          <w:tcPr>
            <w:tcW w:w="1247" w:type="dxa"/>
            <w:tcBorders>
              <w:top w:val="single" w:sz="4"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w:t>
            </w:r>
          </w:p>
        </w:tc>
        <w:tc>
          <w:tcPr>
            <w:tcW w:w="1136" w:type="dxa"/>
            <w:tcBorders>
              <w:top w:val="single" w:sz="4"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w:t>
            </w:r>
          </w:p>
        </w:tc>
        <w:tc>
          <w:tcPr>
            <w:tcW w:w="1084" w:type="dxa"/>
            <w:tcBorders>
              <w:top w:val="single" w:sz="4" w:space="0" w:color="00000A"/>
              <w:left w:val="single" w:sz="8" w:space="0" w:color="00000A"/>
              <w:bottom w:val="single" w:sz="4" w:space="0" w:color="00000A"/>
              <w:right w:val="single" w:sz="8" w:space="0" w:color="00000A"/>
            </w:tcBorders>
            <w:shd w:fill="auto" w:val="clear"/>
            <w:vAlign w:val="bottom"/>
          </w:tcPr>
          <w:p>
            <w:pPr>
              <w:pStyle w:val="Normal"/>
              <w:jc w:val="center"/>
              <w:rPr/>
            </w:pPr>
            <w:r>
              <w:rPr>
                <w:rFonts w:eastAsia="Calibri" w:ascii="Calibri" w:hAnsi="Calibri"/>
                <w:color w:val="000000"/>
                <w:sz w:val="20"/>
                <w:szCs w:val="20"/>
                <w:lang w:eastAsia="en-US"/>
              </w:rPr>
              <w:t>-</w:t>
            </w:r>
          </w:p>
        </w:tc>
      </w:tr>
      <w:tr>
        <w:trPr>
          <w:trHeight w:val="338" w:hRule="atLeast"/>
        </w:trPr>
        <w:tc>
          <w:tcPr>
            <w:tcW w:w="4470" w:type="dxa"/>
            <w:tcBorders>
              <w:top w:val="single" w:sz="4" w:space="0" w:color="00000A"/>
              <w:left w:val="single" w:sz="8" w:space="0" w:color="00000A"/>
              <w:bottom w:val="single" w:sz="4" w:space="0" w:color="00000A"/>
              <w:right w:val="single" w:sz="4"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Diploma di qualifica professionale</w:t>
            </w:r>
          </w:p>
        </w:tc>
        <w:tc>
          <w:tcPr>
            <w:tcW w:w="963" w:type="dxa"/>
            <w:tcBorders>
              <w:top w:val="single" w:sz="4"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w:t>
            </w:r>
          </w:p>
        </w:tc>
        <w:tc>
          <w:tcPr>
            <w:tcW w:w="1247" w:type="dxa"/>
            <w:tcBorders>
              <w:top w:val="single" w:sz="4"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w:t>
            </w:r>
          </w:p>
        </w:tc>
        <w:tc>
          <w:tcPr>
            <w:tcW w:w="1136" w:type="dxa"/>
            <w:tcBorders>
              <w:top w:val="single" w:sz="4"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w:t>
            </w:r>
          </w:p>
        </w:tc>
        <w:tc>
          <w:tcPr>
            <w:tcW w:w="1084" w:type="dxa"/>
            <w:tcBorders>
              <w:top w:val="single" w:sz="4" w:space="0" w:color="00000A"/>
              <w:left w:val="single" w:sz="8" w:space="0" w:color="00000A"/>
              <w:bottom w:val="single" w:sz="4" w:space="0" w:color="00000A"/>
              <w:right w:val="single" w:sz="8" w:space="0" w:color="00000A"/>
            </w:tcBorders>
            <w:shd w:fill="auto" w:val="clear"/>
            <w:vAlign w:val="bottom"/>
          </w:tcPr>
          <w:p>
            <w:pPr>
              <w:pStyle w:val="Normal"/>
              <w:jc w:val="center"/>
              <w:rPr/>
            </w:pPr>
            <w:r>
              <w:rPr>
                <w:rFonts w:eastAsia="Calibri" w:ascii="Calibri" w:hAnsi="Calibri"/>
                <w:color w:val="000000"/>
                <w:sz w:val="20"/>
                <w:szCs w:val="20"/>
                <w:lang w:eastAsia="en-US"/>
              </w:rPr>
              <w:t>-</w:t>
            </w:r>
          </w:p>
        </w:tc>
      </w:tr>
      <w:tr>
        <w:trPr>
          <w:trHeight w:val="437" w:hRule="atLeast"/>
        </w:trPr>
        <w:tc>
          <w:tcPr>
            <w:tcW w:w="4470"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Diploma di scuola secondaria di secondo grado</w:t>
            </w:r>
          </w:p>
        </w:tc>
        <w:tc>
          <w:tcPr>
            <w:tcW w:w="963"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2</w:t>
            </w:r>
          </w:p>
        </w:tc>
        <w:tc>
          <w:tcPr>
            <w:tcW w:w="1247"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2</w:t>
            </w:r>
          </w:p>
        </w:tc>
        <w:tc>
          <w:tcPr>
            <w:tcW w:w="1136"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w:t>
            </w:r>
          </w:p>
        </w:tc>
        <w:tc>
          <w:tcPr>
            <w:tcW w:w="1084" w:type="dxa"/>
            <w:tcBorders>
              <w:top w:val="single" w:sz="8" w:space="0" w:color="00000A"/>
              <w:left w:val="single" w:sz="8" w:space="0" w:color="00000A"/>
              <w:bottom w:val="single" w:sz="4" w:space="0" w:color="00000A"/>
              <w:right w:val="single" w:sz="8" w:space="0" w:color="00000A"/>
            </w:tcBorders>
            <w:shd w:fill="auto" w:val="clear"/>
            <w:vAlign w:val="bottom"/>
          </w:tcPr>
          <w:p>
            <w:pPr>
              <w:pStyle w:val="Normal"/>
              <w:jc w:val="center"/>
              <w:rPr/>
            </w:pPr>
            <w:r>
              <w:rPr>
                <w:rFonts w:eastAsia="Calibri" w:ascii="Calibri" w:hAnsi="Calibri"/>
                <w:color w:val="000000"/>
                <w:sz w:val="20"/>
                <w:szCs w:val="20"/>
                <w:lang w:eastAsia="en-US"/>
              </w:rPr>
              <w:t>-</w:t>
            </w:r>
          </w:p>
        </w:tc>
      </w:tr>
      <w:tr>
        <w:trPr>
          <w:trHeight w:val="600" w:hRule="atLeast"/>
        </w:trPr>
        <w:tc>
          <w:tcPr>
            <w:tcW w:w="4470"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Ulteriore diploma di scuola secondaria di secondo grado</w:t>
            </w:r>
          </w:p>
        </w:tc>
        <w:tc>
          <w:tcPr>
            <w:tcW w:w="963"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w:t>
            </w:r>
          </w:p>
        </w:tc>
        <w:tc>
          <w:tcPr>
            <w:tcW w:w="1247"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w:t>
            </w:r>
          </w:p>
        </w:tc>
        <w:tc>
          <w:tcPr>
            <w:tcW w:w="1136"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w:t>
            </w:r>
          </w:p>
        </w:tc>
        <w:tc>
          <w:tcPr>
            <w:tcW w:w="1084" w:type="dxa"/>
            <w:tcBorders>
              <w:top w:val="single" w:sz="8" w:space="0" w:color="00000A"/>
              <w:left w:val="single" w:sz="8" w:space="0" w:color="00000A"/>
              <w:bottom w:val="single" w:sz="4" w:space="0" w:color="00000A"/>
              <w:right w:val="single" w:sz="8" w:space="0" w:color="00000A"/>
            </w:tcBorders>
            <w:shd w:fill="auto" w:val="clear"/>
            <w:vAlign w:val="bottom"/>
          </w:tcPr>
          <w:p>
            <w:pPr>
              <w:pStyle w:val="Normal"/>
              <w:jc w:val="center"/>
              <w:rPr/>
            </w:pPr>
            <w:r>
              <w:rPr>
                <w:rFonts w:eastAsia="Calibri" w:ascii="Calibri" w:hAnsi="Calibri"/>
                <w:color w:val="000000"/>
                <w:sz w:val="20"/>
                <w:szCs w:val="20"/>
                <w:lang w:eastAsia="en-US"/>
              </w:rPr>
              <w:t>-</w:t>
            </w:r>
          </w:p>
        </w:tc>
      </w:tr>
      <w:tr>
        <w:trPr>
          <w:trHeight w:val="591" w:hRule="atLeast"/>
        </w:trPr>
        <w:tc>
          <w:tcPr>
            <w:tcW w:w="4470"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Laurea triennale nuovo ordinamento, diploma universitario, diploma di scuola diretta a fini speciali</w:t>
            </w:r>
          </w:p>
        </w:tc>
        <w:tc>
          <w:tcPr>
            <w:tcW w:w="963"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1,5</w:t>
            </w:r>
          </w:p>
        </w:tc>
        <w:tc>
          <w:tcPr>
            <w:tcW w:w="1247"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1,5</w:t>
            </w:r>
          </w:p>
        </w:tc>
        <w:tc>
          <w:tcPr>
            <w:tcW w:w="1136"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1,5</w:t>
            </w:r>
          </w:p>
        </w:tc>
        <w:tc>
          <w:tcPr>
            <w:tcW w:w="1084" w:type="dxa"/>
            <w:tcBorders>
              <w:top w:val="single" w:sz="8" w:space="0" w:color="00000A"/>
              <w:left w:val="single" w:sz="8" w:space="0" w:color="00000A"/>
              <w:bottom w:val="single" w:sz="4" w:space="0" w:color="00000A"/>
              <w:right w:val="single" w:sz="8" w:space="0" w:color="00000A"/>
            </w:tcBorders>
            <w:shd w:fill="auto" w:val="clear"/>
            <w:vAlign w:val="bottom"/>
          </w:tcPr>
          <w:p>
            <w:pPr>
              <w:pStyle w:val="Normal"/>
              <w:jc w:val="center"/>
              <w:rPr/>
            </w:pPr>
            <w:r>
              <w:rPr>
                <w:rFonts w:eastAsia="Calibri" w:ascii="Calibri" w:hAnsi="Calibri"/>
                <w:color w:val="000000"/>
                <w:sz w:val="20"/>
                <w:szCs w:val="20"/>
                <w:lang w:eastAsia="en-US"/>
              </w:rPr>
              <w:t>-</w:t>
            </w:r>
          </w:p>
        </w:tc>
      </w:tr>
      <w:tr>
        <w:trPr>
          <w:trHeight w:val="624" w:hRule="atLeast"/>
        </w:trPr>
        <w:tc>
          <w:tcPr>
            <w:tcW w:w="4470"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Laurea specialistica, magistrale, diploma di laurea vecchio ordinamento</w:t>
            </w:r>
          </w:p>
        </w:tc>
        <w:tc>
          <w:tcPr>
            <w:tcW w:w="963"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2</w:t>
            </w:r>
          </w:p>
        </w:tc>
        <w:tc>
          <w:tcPr>
            <w:tcW w:w="1247"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2</w:t>
            </w:r>
          </w:p>
        </w:tc>
        <w:tc>
          <w:tcPr>
            <w:tcW w:w="1136"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2</w:t>
            </w:r>
          </w:p>
        </w:tc>
        <w:tc>
          <w:tcPr>
            <w:tcW w:w="1084" w:type="dxa"/>
            <w:tcBorders>
              <w:top w:val="single" w:sz="8" w:space="0" w:color="00000A"/>
              <w:left w:val="single" w:sz="8" w:space="0" w:color="00000A"/>
              <w:bottom w:val="single" w:sz="4" w:space="0" w:color="00000A"/>
              <w:right w:val="single" w:sz="8" w:space="0" w:color="00000A"/>
            </w:tcBorders>
            <w:shd w:fill="auto" w:val="clear"/>
            <w:vAlign w:val="bottom"/>
          </w:tcPr>
          <w:p>
            <w:pPr>
              <w:pStyle w:val="Normal"/>
              <w:jc w:val="center"/>
              <w:rPr/>
            </w:pPr>
            <w:r>
              <w:rPr>
                <w:rFonts w:eastAsia="Calibri" w:ascii="Calibri" w:hAnsi="Calibri"/>
                <w:color w:val="000000"/>
                <w:sz w:val="20"/>
                <w:szCs w:val="20"/>
                <w:lang w:eastAsia="en-US"/>
              </w:rPr>
              <w:t>-</w:t>
            </w:r>
          </w:p>
        </w:tc>
      </w:tr>
      <w:tr>
        <w:trPr>
          <w:trHeight w:val="300" w:hRule="atLeast"/>
        </w:trPr>
        <w:tc>
          <w:tcPr>
            <w:tcW w:w="4470"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Master universitario di I livello</w:t>
            </w:r>
          </w:p>
        </w:tc>
        <w:tc>
          <w:tcPr>
            <w:tcW w:w="963"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0,5</w:t>
            </w:r>
          </w:p>
        </w:tc>
        <w:tc>
          <w:tcPr>
            <w:tcW w:w="1247"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0,5</w:t>
            </w:r>
          </w:p>
        </w:tc>
        <w:tc>
          <w:tcPr>
            <w:tcW w:w="1136"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0,5</w:t>
            </w:r>
          </w:p>
        </w:tc>
        <w:tc>
          <w:tcPr>
            <w:tcW w:w="1084" w:type="dxa"/>
            <w:tcBorders>
              <w:top w:val="single" w:sz="8" w:space="0" w:color="00000A"/>
              <w:left w:val="single" w:sz="8" w:space="0" w:color="00000A"/>
              <w:bottom w:val="single" w:sz="4" w:space="0" w:color="00000A"/>
              <w:right w:val="single" w:sz="8" w:space="0" w:color="00000A"/>
            </w:tcBorders>
            <w:shd w:fill="auto" w:val="clear"/>
            <w:vAlign w:val="bottom"/>
          </w:tcPr>
          <w:p>
            <w:pPr>
              <w:pStyle w:val="Normal"/>
              <w:jc w:val="center"/>
              <w:rPr/>
            </w:pPr>
            <w:r>
              <w:rPr>
                <w:rFonts w:eastAsia="Calibri" w:ascii="Calibri" w:hAnsi="Calibri"/>
                <w:color w:val="000000"/>
                <w:sz w:val="20"/>
                <w:szCs w:val="20"/>
                <w:lang w:eastAsia="en-US"/>
              </w:rPr>
              <w:t>0,5</w:t>
            </w:r>
          </w:p>
        </w:tc>
      </w:tr>
      <w:tr>
        <w:trPr>
          <w:trHeight w:val="300" w:hRule="atLeast"/>
        </w:trPr>
        <w:tc>
          <w:tcPr>
            <w:tcW w:w="4470"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Master universitario di II livello</w:t>
            </w:r>
          </w:p>
        </w:tc>
        <w:tc>
          <w:tcPr>
            <w:tcW w:w="963"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w:t>
            </w:r>
          </w:p>
        </w:tc>
        <w:tc>
          <w:tcPr>
            <w:tcW w:w="1247"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w:t>
            </w:r>
          </w:p>
        </w:tc>
        <w:tc>
          <w:tcPr>
            <w:tcW w:w="1136"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w:t>
            </w:r>
          </w:p>
        </w:tc>
        <w:tc>
          <w:tcPr>
            <w:tcW w:w="1084" w:type="dxa"/>
            <w:tcBorders>
              <w:top w:val="single" w:sz="8" w:space="0" w:color="00000A"/>
              <w:left w:val="single" w:sz="8" w:space="0" w:color="00000A"/>
              <w:bottom w:val="single" w:sz="4" w:space="0" w:color="00000A"/>
              <w:right w:val="single" w:sz="8" w:space="0" w:color="00000A"/>
            </w:tcBorders>
            <w:shd w:fill="auto" w:val="clear"/>
            <w:vAlign w:val="bottom"/>
          </w:tcPr>
          <w:p>
            <w:pPr>
              <w:pStyle w:val="Normal"/>
              <w:jc w:val="center"/>
              <w:rPr/>
            </w:pPr>
            <w:r>
              <w:rPr>
                <w:rFonts w:eastAsia="Calibri" w:ascii="Calibri" w:hAnsi="Calibri"/>
                <w:color w:val="000000"/>
                <w:sz w:val="20"/>
                <w:szCs w:val="20"/>
                <w:lang w:eastAsia="en-US"/>
              </w:rPr>
              <w:t>1</w:t>
            </w:r>
          </w:p>
        </w:tc>
      </w:tr>
      <w:tr>
        <w:trPr>
          <w:trHeight w:val="363" w:hRule="atLeast"/>
        </w:trPr>
        <w:tc>
          <w:tcPr>
            <w:tcW w:w="4470"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 xml:space="preserve">Diploma di specializzazione </w:t>
            </w:r>
          </w:p>
        </w:tc>
        <w:tc>
          <w:tcPr>
            <w:tcW w:w="963"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0,50</w:t>
            </w:r>
          </w:p>
        </w:tc>
        <w:tc>
          <w:tcPr>
            <w:tcW w:w="1247"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0,50</w:t>
            </w:r>
          </w:p>
        </w:tc>
        <w:tc>
          <w:tcPr>
            <w:tcW w:w="1136"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0,50</w:t>
            </w:r>
          </w:p>
        </w:tc>
        <w:tc>
          <w:tcPr>
            <w:tcW w:w="1084" w:type="dxa"/>
            <w:tcBorders>
              <w:top w:val="single" w:sz="8" w:space="0" w:color="00000A"/>
              <w:left w:val="single" w:sz="8" w:space="0" w:color="00000A"/>
              <w:bottom w:val="single" w:sz="4" w:space="0" w:color="00000A"/>
              <w:right w:val="single" w:sz="8" w:space="0" w:color="00000A"/>
            </w:tcBorders>
            <w:shd w:fill="auto" w:val="clear"/>
            <w:vAlign w:val="bottom"/>
          </w:tcPr>
          <w:p>
            <w:pPr>
              <w:pStyle w:val="Normal"/>
              <w:jc w:val="center"/>
              <w:rPr/>
            </w:pPr>
            <w:r>
              <w:rPr>
                <w:rFonts w:eastAsia="Calibri" w:ascii="Calibri" w:hAnsi="Calibri"/>
                <w:color w:val="000000"/>
                <w:sz w:val="20"/>
                <w:szCs w:val="20"/>
                <w:lang w:eastAsia="en-US"/>
              </w:rPr>
              <w:t>0,50</w:t>
            </w:r>
          </w:p>
        </w:tc>
      </w:tr>
      <w:tr>
        <w:trPr>
          <w:trHeight w:val="300" w:hRule="atLeast"/>
        </w:trPr>
        <w:tc>
          <w:tcPr>
            <w:tcW w:w="4470"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Dottorato di ricerca</w:t>
            </w:r>
          </w:p>
        </w:tc>
        <w:tc>
          <w:tcPr>
            <w:tcW w:w="963"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3</w:t>
            </w:r>
          </w:p>
        </w:tc>
        <w:tc>
          <w:tcPr>
            <w:tcW w:w="1247"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3</w:t>
            </w:r>
          </w:p>
        </w:tc>
        <w:tc>
          <w:tcPr>
            <w:tcW w:w="1136"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3</w:t>
            </w:r>
          </w:p>
        </w:tc>
        <w:tc>
          <w:tcPr>
            <w:tcW w:w="1084" w:type="dxa"/>
            <w:tcBorders>
              <w:top w:val="single" w:sz="8" w:space="0" w:color="00000A"/>
              <w:left w:val="single" w:sz="8" w:space="0" w:color="00000A"/>
              <w:bottom w:val="single" w:sz="4" w:space="0" w:color="00000A"/>
              <w:right w:val="single" w:sz="8" w:space="0" w:color="00000A"/>
            </w:tcBorders>
            <w:shd w:fill="auto" w:val="clear"/>
            <w:vAlign w:val="bottom"/>
          </w:tcPr>
          <w:p>
            <w:pPr>
              <w:pStyle w:val="Normal"/>
              <w:jc w:val="center"/>
              <w:rPr/>
            </w:pPr>
            <w:r>
              <w:rPr>
                <w:rFonts w:eastAsia="Calibri" w:ascii="Calibri" w:hAnsi="Calibri"/>
                <w:color w:val="000000"/>
                <w:sz w:val="20"/>
                <w:szCs w:val="20"/>
                <w:lang w:eastAsia="en-US"/>
              </w:rPr>
              <w:t>3</w:t>
            </w:r>
          </w:p>
        </w:tc>
      </w:tr>
      <w:tr>
        <w:trPr>
          <w:trHeight w:val="300" w:hRule="atLeast"/>
        </w:trPr>
        <w:tc>
          <w:tcPr>
            <w:tcW w:w="4470"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 xml:space="preserve">Lauree ulteriori </w:t>
            </w:r>
          </w:p>
        </w:tc>
        <w:tc>
          <w:tcPr>
            <w:tcW w:w="963"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w:t>
            </w:r>
          </w:p>
        </w:tc>
        <w:tc>
          <w:tcPr>
            <w:tcW w:w="1247"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w:t>
            </w:r>
          </w:p>
        </w:tc>
        <w:tc>
          <w:tcPr>
            <w:tcW w:w="1136"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w:t>
            </w:r>
          </w:p>
        </w:tc>
        <w:tc>
          <w:tcPr>
            <w:tcW w:w="1084" w:type="dxa"/>
            <w:tcBorders>
              <w:top w:val="single" w:sz="8" w:space="0" w:color="00000A"/>
              <w:left w:val="single" w:sz="8" w:space="0" w:color="00000A"/>
              <w:bottom w:val="single" w:sz="4" w:space="0" w:color="00000A"/>
              <w:right w:val="single" w:sz="8" w:space="0" w:color="00000A"/>
            </w:tcBorders>
            <w:shd w:fill="auto" w:val="clear"/>
            <w:vAlign w:val="bottom"/>
          </w:tcPr>
          <w:p>
            <w:pPr>
              <w:pStyle w:val="Normal"/>
              <w:jc w:val="center"/>
              <w:rPr/>
            </w:pPr>
            <w:r>
              <w:rPr>
                <w:rFonts w:eastAsia="Calibri" w:ascii="Calibri" w:hAnsi="Calibri"/>
                <w:color w:val="000000"/>
                <w:sz w:val="20"/>
                <w:szCs w:val="20"/>
                <w:lang w:eastAsia="en-US"/>
              </w:rPr>
              <w:t>2</w:t>
            </w:r>
          </w:p>
        </w:tc>
      </w:tr>
      <w:tr>
        <w:trPr>
          <w:trHeight w:val="300" w:hRule="atLeast"/>
        </w:trPr>
        <w:tc>
          <w:tcPr>
            <w:tcW w:w="4470"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Corso di perfezionamento</w:t>
            </w:r>
          </w:p>
        </w:tc>
        <w:tc>
          <w:tcPr>
            <w:tcW w:w="963"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w:t>
            </w:r>
          </w:p>
        </w:tc>
        <w:tc>
          <w:tcPr>
            <w:tcW w:w="1247"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w:t>
            </w:r>
          </w:p>
        </w:tc>
        <w:tc>
          <w:tcPr>
            <w:tcW w:w="1136"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w:t>
            </w:r>
          </w:p>
        </w:tc>
        <w:tc>
          <w:tcPr>
            <w:tcW w:w="1084" w:type="dxa"/>
            <w:tcBorders>
              <w:top w:val="single" w:sz="8" w:space="0" w:color="00000A"/>
              <w:left w:val="single" w:sz="8" w:space="0" w:color="00000A"/>
              <w:bottom w:val="single" w:sz="4" w:space="0" w:color="00000A"/>
              <w:right w:val="single" w:sz="8" w:space="0" w:color="00000A"/>
            </w:tcBorders>
            <w:shd w:fill="auto" w:val="clear"/>
            <w:vAlign w:val="bottom"/>
          </w:tcPr>
          <w:p>
            <w:pPr>
              <w:pStyle w:val="Normal"/>
              <w:jc w:val="center"/>
              <w:rPr/>
            </w:pPr>
            <w:r>
              <w:rPr>
                <w:rFonts w:eastAsia="Calibri" w:ascii="Calibri" w:hAnsi="Calibri"/>
                <w:color w:val="000000"/>
                <w:sz w:val="20"/>
                <w:szCs w:val="20"/>
                <w:lang w:eastAsia="en-US"/>
              </w:rPr>
              <w:t>1</w:t>
            </w:r>
          </w:p>
        </w:tc>
      </w:tr>
      <w:tr>
        <w:trPr>
          <w:trHeight w:val="350" w:hRule="atLeast"/>
        </w:trPr>
        <w:tc>
          <w:tcPr>
            <w:tcW w:w="4470"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Corsi di formazione regionali post diploma</w:t>
            </w:r>
          </w:p>
        </w:tc>
        <w:tc>
          <w:tcPr>
            <w:tcW w:w="963"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w:t>
            </w:r>
          </w:p>
        </w:tc>
        <w:tc>
          <w:tcPr>
            <w:tcW w:w="1247"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w:t>
            </w:r>
          </w:p>
        </w:tc>
        <w:tc>
          <w:tcPr>
            <w:tcW w:w="1136" w:type="dxa"/>
            <w:tcBorders>
              <w:top w:val="single" w:sz="8" w:space="0" w:color="00000A"/>
              <w:left w:val="single" w:sz="8" w:space="0" w:color="00000A"/>
              <w:bottom w:val="single" w:sz="4"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w:t>
            </w:r>
          </w:p>
        </w:tc>
        <w:tc>
          <w:tcPr>
            <w:tcW w:w="1084" w:type="dxa"/>
            <w:tcBorders>
              <w:top w:val="single" w:sz="8" w:space="0" w:color="00000A"/>
              <w:left w:val="single" w:sz="8" w:space="0" w:color="00000A"/>
              <w:bottom w:val="single" w:sz="4" w:space="0" w:color="00000A"/>
              <w:right w:val="single" w:sz="8" w:space="0" w:color="00000A"/>
            </w:tcBorders>
            <w:shd w:fill="auto" w:val="clear"/>
            <w:vAlign w:val="bottom"/>
          </w:tcPr>
          <w:p>
            <w:pPr>
              <w:pStyle w:val="Normal"/>
              <w:jc w:val="center"/>
              <w:rPr/>
            </w:pPr>
            <w:r>
              <w:rPr>
                <w:rFonts w:eastAsia="Calibri" w:ascii="Calibri" w:hAnsi="Calibri"/>
                <w:color w:val="000000"/>
                <w:sz w:val="20"/>
                <w:szCs w:val="20"/>
                <w:lang w:eastAsia="en-US"/>
              </w:rPr>
              <w:t>-</w:t>
            </w:r>
          </w:p>
        </w:tc>
      </w:tr>
      <w:tr>
        <w:trPr>
          <w:trHeight w:val="337" w:hRule="atLeast"/>
        </w:trPr>
        <w:tc>
          <w:tcPr>
            <w:tcW w:w="4470" w:type="dxa"/>
            <w:tcBorders>
              <w:top w:val="single" w:sz="8" w:space="0" w:color="00000A"/>
              <w:left w:val="single" w:sz="8" w:space="0" w:color="00000A"/>
              <w:bottom w:val="single" w:sz="8" w:space="0" w:color="00000A"/>
              <w:right w:val="single" w:sz="4"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 xml:space="preserve">Corsi di formazione regionali post lauream </w:t>
            </w:r>
          </w:p>
        </w:tc>
        <w:tc>
          <w:tcPr>
            <w:tcW w:w="963" w:type="dxa"/>
            <w:tcBorders>
              <w:top w:val="single" w:sz="8" w:space="0" w:color="00000A"/>
              <w:left w:val="single" w:sz="8" w:space="0" w:color="00000A"/>
              <w:bottom w:val="single" w:sz="8"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w:t>
            </w:r>
          </w:p>
        </w:tc>
        <w:tc>
          <w:tcPr>
            <w:tcW w:w="1247" w:type="dxa"/>
            <w:tcBorders>
              <w:top w:val="single" w:sz="8" w:space="0" w:color="00000A"/>
              <w:left w:val="single" w:sz="8" w:space="0" w:color="00000A"/>
              <w:bottom w:val="single" w:sz="8"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w:t>
            </w:r>
          </w:p>
        </w:tc>
        <w:tc>
          <w:tcPr>
            <w:tcW w:w="1136" w:type="dxa"/>
            <w:tcBorders>
              <w:top w:val="single" w:sz="8" w:space="0" w:color="00000A"/>
              <w:left w:val="single" w:sz="8" w:space="0" w:color="00000A"/>
              <w:bottom w:val="single" w:sz="8" w:space="0" w:color="00000A"/>
              <w:right w:val="single" w:sz="4" w:space="0" w:color="00000A"/>
            </w:tcBorders>
            <w:shd w:fill="auto" w:val="clear"/>
            <w:vAlign w:val="bottom"/>
          </w:tcPr>
          <w:p>
            <w:pPr>
              <w:pStyle w:val="Normal"/>
              <w:jc w:val="center"/>
              <w:rPr/>
            </w:pPr>
            <w:r>
              <w:rPr>
                <w:rFonts w:eastAsia="Calibri" w:ascii="Calibri" w:hAnsi="Calibri"/>
                <w:color w:val="000000"/>
                <w:sz w:val="20"/>
                <w:szCs w:val="20"/>
                <w:lang w:eastAsia="en-US"/>
              </w:rPr>
              <w:t>1</w:t>
            </w:r>
          </w:p>
        </w:tc>
        <w:tc>
          <w:tcPr>
            <w:tcW w:w="1084" w:type="dxa"/>
            <w:tcBorders>
              <w:top w:val="single" w:sz="8" w:space="0" w:color="00000A"/>
              <w:left w:val="single" w:sz="8" w:space="0" w:color="00000A"/>
              <w:bottom w:val="single" w:sz="8" w:space="0" w:color="00000A"/>
              <w:right w:val="single" w:sz="8" w:space="0" w:color="00000A"/>
            </w:tcBorders>
            <w:shd w:fill="auto" w:val="clear"/>
            <w:vAlign w:val="bottom"/>
          </w:tcPr>
          <w:p>
            <w:pPr>
              <w:pStyle w:val="Normal"/>
              <w:jc w:val="center"/>
              <w:rPr/>
            </w:pPr>
            <w:r>
              <w:rPr>
                <w:rFonts w:eastAsia="Calibri" w:ascii="Calibri" w:hAnsi="Calibri"/>
                <w:color w:val="000000"/>
                <w:sz w:val="20"/>
                <w:szCs w:val="20"/>
                <w:lang w:eastAsia="en-US"/>
              </w:rPr>
              <w:t>1</w:t>
            </w:r>
          </w:p>
        </w:tc>
      </w:tr>
    </w:tbl>
    <w:p>
      <w:pPr>
        <w:pStyle w:val="Normal"/>
        <w:spacing w:lineRule="exact" w:line="240"/>
        <w:ind w:left="340" w:hanging="0"/>
        <w:jc w:val="both"/>
        <w:rPr>
          <w:rFonts w:ascii="Calibri" w:hAnsi="Calibri"/>
          <w:b/>
          <w:b/>
          <w:color w:val="000000"/>
          <w:sz w:val="20"/>
          <w:szCs w:val="20"/>
        </w:rPr>
      </w:pPr>
      <w:r>
        <w:rPr>
          <w:rFonts w:ascii="Calibri" w:hAnsi="Calibri"/>
          <w:b/>
          <w:color w:val="000000"/>
          <w:sz w:val="20"/>
          <w:szCs w:val="20"/>
        </w:rPr>
      </w:r>
    </w:p>
    <w:p>
      <w:pPr>
        <w:pStyle w:val="Normal"/>
        <w:jc w:val="both"/>
        <w:rPr>
          <w:rFonts w:ascii="Calibri" w:hAnsi="Calibri"/>
          <w:color w:val="000000"/>
          <w:sz w:val="20"/>
          <w:szCs w:val="20"/>
        </w:rPr>
      </w:pPr>
      <w:r>
        <w:rPr>
          <w:rFonts w:eastAsia="Calibri" w:ascii="Calibri" w:hAnsi="Calibri"/>
          <w:color w:val="000000"/>
          <w:sz w:val="20"/>
          <w:szCs w:val="20"/>
          <w:lang w:eastAsia="en-US"/>
        </w:rPr>
        <w:t>I titoli di studio Laurea triennale nuovo ordinamento, diploma universitario, diploma di scuola diretta a fini speciali saranno valutati in assenza di un titolo di Laurea specialistica, magistrale, diploma di laurea vecchio ordinamento.</w:t>
      </w:r>
    </w:p>
    <w:p>
      <w:pPr>
        <w:pStyle w:val="Normal"/>
        <w:widowControl/>
        <w:suppressAutoHyphens w:val="true"/>
        <w:overflowPunct w:val="true"/>
        <w:bidi w:val="0"/>
        <w:spacing w:lineRule="exact" w:line="240" w:before="0" w:after="0"/>
        <w:ind w:left="0" w:right="0" w:hanging="0"/>
        <w:jc w:val="both"/>
        <w:rPr/>
      </w:pPr>
      <w:r>
        <w:rPr>
          <w:rFonts w:eastAsia="Calibri" w:cs="Times New Roman" w:ascii="Calibri" w:hAnsi="Calibri"/>
          <w:b w:val="false"/>
          <w:bCs w:val="false"/>
          <w:color w:val="000000"/>
          <w:kern w:val="0"/>
          <w:sz w:val="20"/>
          <w:szCs w:val="20"/>
          <w:lang w:val="it-IT" w:eastAsia="en-US" w:bidi="ar-SA"/>
        </w:rPr>
        <w:t>Saranno valutati anche i titoli di studio stranieri dichiarati equipollenti ai corrispondenti titoli italiani, per effetto di accordi internazionali di reciprocità e negli altri casi previsti dalla legge.</w:t>
      </w:r>
    </w:p>
    <w:p>
      <w:pPr>
        <w:pStyle w:val="Normal"/>
        <w:widowControl/>
        <w:suppressAutoHyphens w:val="true"/>
        <w:overflowPunct w:val="true"/>
        <w:bidi w:val="0"/>
        <w:spacing w:lineRule="exact" w:line="240" w:before="0" w:after="0"/>
        <w:ind w:left="0" w:right="0" w:hanging="0"/>
        <w:jc w:val="both"/>
        <w:rPr>
          <w:rFonts w:ascii="Calibri" w:hAnsi="Calibri" w:eastAsia="Calibri"/>
          <w:color w:val="000000"/>
          <w:sz w:val="20"/>
          <w:szCs w:val="20"/>
          <w:lang w:eastAsia="en-US"/>
        </w:rPr>
      </w:pPr>
      <w:r>
        <w:rPr>
          <w:rFonts w:eastAsia="Calibri" w:ascii="Calibri" w:hAnsi="Calibri"/>
          <w:color w:val="000000"/>
          <w:sz w:val="20"/>
          <w:szCs w:val="20"/>
          <w:lang w:eastAsia="en-US"/>
        </w:rPr>
      </w:r>
    </w:p>
    <w:p>
      <w:pPr>
        <w:pStyle w:val="Normal"/>
        <w:widowControl/>
        <w:suppressAutoHyphens w:val="true"/>
        <w:overflowPunct w:val="true"/>
        <w:bidi w:val="0"/>
        <w:spacing w:lineRule="exact" w:line="240" w:before="0" w:after="0"/>
        <w:ind w:left="0" w:right="0" w:hanging="0"/>
        <w:jc w:val="both"/>
        <w:rPr>
          <w:b w:val="false"/>
          <w:b w:val="false"/>
          <w:bCs w:val="false"/>
          <w:u w:val="single"/>
        </w:rPr>
      </w:pPr>
      <w:r>
        <w:rPr>
          <w:rFonts w:eastAsia="Calibri" w:ascii="Calibri" w:hAnsi="Calibri"/>
          <w:b w:val="false"/>
          <w:bCs w:val="false"/>
          <w:color w:val="000000"/>
          <w:sz w:val="20"/>
          <w:szCs w:val="20"/>
          <w:u w:val="single"/>
          <w:lang w:eastAsia="en-US"/>
        </w:rPr>
        <w:t>C)   FORMAZIONE CERTIFICATA E PERTINENTE</w:t>
      </w:r>
    </w:p>
    <w:p>
      <w:pPr>
        <w:pStyle w:val="Normal"/>
        <w:shd w:val="clear" w:color="auto" w:fill="FFFFFF"/>
        <w:jc w:val="both"/>
        <w:rPr>
          <w:rFonts w:ascii="Calibri" w:hAnsi="Calibri"/>
          <w:color w:val="000000"/>
          <w:sz w:val="20"/>
          <w:szCs w:val="20"/>
        </w:rPr>
      </w:pPr>
      <w:r>
        <w:rPr>
          <w:rFonts w:eastAsia="Calibri" w:ascii="Calibri" w:hAnsi="Calibri"/>
          <w:color w:val="000000"/>
          <w:sz w:val="20"/>
          <w:szCs w:val="20"/>
          <w:lang w:eastAsia="en-US"/>
        </w:rPr>
        <w:t>In questa categoria verrà valutata la partecipazione ai corsi di formazione.</w:t>
      </w:r>
    </w:p>
    <w:p>
      <w:pPr>
        <w:pStyle w:val="Normal"/>
        <w:shd w:val="clear" w:color="auto" w:fill="FFFFFF"/>
        <w:jc w:val="both"/>
        <w:rPr>
          <w:rFonts w:ascii="Calibri" w:hAnsi="Calibri"/>
          <w:color w:val="000000"/>
          <w:sz w:val="20"/>
          <w:szCs w:val="20"/>
        </w:rPr>
      </w:pPr>
      <w:r>
        <w:rPr>
          <w:rFonts w:eastAsia="Calibri" w:ascii="Calibri" w:hAnsi="Calibri"/>
          <w:color w:val="000000"/>
          <w:sz w:val="20"/>
          <w:szCs w:val="20"/>
          <w:lang w:eastAsia="en-US"/>
        </w:rPr>
        <w:t>Verranno valutati i corsi frequentati nel periodo intercorrente tra la data dell’ultimo inquadramento del dipendente nella posizione economica immediatamente inferiore a quella per cui si concorre ed il 31 dicembre 20</w:t>
      </w:r>
      <w:r>
        <w:rPr>
          <w:rFonts w:eastAsia="Calibri" w:cs="Times New Roman" w:ascii="Calibri" w:hAnsi="Calibri"/>
          <w:color w:val="000000"/>
          <w:kern w:val="0"/>
          <w:sz w:val="20"/>
          <w:szCs w:val="20"/>
          <w:lang w:val="it-IT" w:eastAsia="en-US" w:bidi="ar-SA"/>
        </w:rPr>
        <w:t>21</w:t>
      </w:r>
      <w:r>
        <w:rPr>
          <w:rFonts w:eastAsia="Calibri" w:ascii="Calibri" w:hAnsi="Calibri"/>
          <w:color w:val="000000"/>
          <w:sz w:val="20"/>
          <w:szCs w:val="20"/>
          <w:lang w:eastAsia="en-US"/>
        </w:rPr>
        <w:t>.</w:t>
      </w:r>
    </w:p>
    <w:p>
      <w:pPr>
        <w:pStyle w:val="Normal"/>
        <w:shd w:val="clear" w:color="auto" w:fill="FFFFFF"/>
        <w:jc w:val="both"/>
        <w:rPr>
          <w:rFonts w:ascii="Calibri" w:hAnsi="Calibri"/>
          <w:color w:val="000000"/>
          <w:sz w:val="20"/>
          <w:szCs w:val="20"/>
        </w:rPr>
      </w:pPr>
      <w:r>
        <w:rPr>
          <w:rFonts w:eastAsia="Calibri" w:ascii="Calibri" w:hAnsi="Calibri"/>
          <w:color w:val="000000"/>
          <w:sz w:val="20"/>
          <w:szCs w:val="20"/>
          <w:lang w:eastAsia="en-US"/>
        </w:rPr>
        <w:t>Per ogni corso i punteggi verranno attribuiti secondo la seguente articolazione:</w:t>
      </w:r>
    </w:p>
    <w:p>
      <w:pPr>
        <w:pStyle w:val="Normal"/>
        <w:numPr>
          <w:ilvl w:val="0"/>
          <w:numId w:val="5"/>
        </w:numPr>
        <w:shd w:val="clear" w:color="auto" w:fill="FFFFFF"/>
        <w:jc w:val="both"/>
        <w:rPr>
          <w:rFonts w:ascii="Calibri" w:hAnsi="Calibri"/>
          <w:color w:val="000000"/>
          <w:sz w:val="20"/>
          <w:szCs w:val="20"/>
        </w:rPr>
      </w:pPr>
      <w:r>
        <w:rPr>
          <w:rFonts w:eastAsia="Calibri" w:ascii="Calibri" w:hAnsi="Calibri"/>
          <w:color w:val="000000"/>
          <w:sz w:val="20"/>
          <w:szCs w:val="20"/>
          <w:lang w:eastAsia="en-US"/>
        </w:rPr>
        <w:t xml:space="preserve">Se il corso si sviluppa per più giornate si valuteranno le singole giornate di formazione. </w:t>
      </w:r>
    </w:p>
    <w:p>
      <w:pPr>
        <w:pStyle w:val="Normal"/>
        <w:widowControl/>
        <w:numPr>
          <w:ilvl w:val="0"/>
          <w:numId w:val="5"/>
        </w:numPr>
        <w:shd w:val="clear" w:color="auto" w:fill="FFFFFF"/>
        <w:suppressAutoHyphens w:val="true"/>
        <w:overflowPunct w:val="true"/>
        <w:bidi w:val="0"/>
        <w:spacing w:lineRule="exact" w:line="240" w:before="0" w:after="0"/>
        <w:ind w:left="737" w:right="0" w:hanging="340"/>
        <w:jc w:val="both"/>
        <w:rPr>
          <w:rFonts w:ascii="Calibri" w:hAnsi="Calibri"/>
          <w:b w:val="false"/>
          <w:b w:val="false"/>
          <w:bCs w:val="false"/>
          <w:color w:val="000000"/>
          <w:sz w:val="20"/>
          <w:szCs w:val="20"/>
        </w:rPr>
      </w:pPr>
      <w:r>
        <w:rPr>
          <w:rFonts w:eastAsia="Calibri" w:ascii="Calibri" w:hAnsi="Calibri"/>
          <w:b w:val="false"/>
          <w:bCs w:val="false"/>
          <w:color w:val="000000"/>
          <w:sz w:val="20"/>
          <w:szCs w:val="20"/>
          <w:lang w:eastAsia="en-US"/>
        </w:rPr>
        <w:t xml:space="preserve">Se il corso si sviluppa in più giornate secondo un numero totale predefinito di ore la partecipazione si valuterà per frazione di ore (caso in cui </w:t>
      </w:r>
      <w:r>
        <w:rPr>
          <w:rFonts w:eastAsia="Calibri" w:cs="Times New Roman" w:ascii="Calibri" w:hAnsi="Calibri"/>
          <w:b w:val="false"/>
          <w:bCs w:val="false"/>
          <w:color w:val="000000"/>
          <w:kern w:val="0"/>
          <w:sz w:val="20"/>
          <w:szCs w:val="20"/>
          <w:lang w:val="it-IT" w:eastAsia="en-US" w:bidi="ar-SA"/>
        </w:rPr>
        <w:t>il corso</w:t>
      </w:r>
      <w:r>
        <w:rPr>
          <w:rFonts w:eastAsia="Calibri" w:ascii="Calibri" w:hAnsi="Calibri"/>
          <w:b w:val="false"/>
          <w:bCs w:val="false"/>
          <w:color w:val="000000"/>
          <w:sz w:val="20"/>
          <w:szCs w:val="20"/>
          <w:lang w:eastAsia="en-US"/>
        </w:rPr>
        <w:t xml:space="preserve"> contempla solo il numero totale di ore senza </w:t>
      </w:r>
      <w:r>
        <w:rPr>
          <w:rFonts w:eastAsia="Calibri" w:cs="Times New Roman" w:ascii="Calibri" w:hAnsi="Calibri"/>
          <w:b w:val="false"/>
          <w:bCs w:val="false"/>
          <w:color w:val="000000"/>
          <w:kern w:val="0"/>
          <w:sz w:val="20"/>
          <w:szCs w:val="20"/>
          <w:lang w:val="it-IT" w:eastAsia="en-US" w:bidi="ar-SA"/>
        </w:rPr>
        <w:t>predefinire</w:t>
      </w:r>
      <w:r>
        <w:rPr>
          <w:rFonts w:eastAsia="Calibri" w:ascii="Calibri" w:hAnsi="Calibri"/>
          <w:b w:val="false"/>
          <w:bCs w:val="false"/>
          <w:color w:val="000000"/>
          <w:sz w:val="20"/>
          <w:szCs w:val="20"/>
          <w:lang w:eastAsia="en-US"/>
        </w:rPr>
        <w:t xml:space="preserve"> le </w:t>
      </w:r>
      <w:r>
        <w:rPr>
          <w:rFonts w:eastAsia="Calibri" w:cs="Times New Roman" w:ascii="Calibri" w:hAnsi="Calibri"/>
          <w:b w:val="false"/>
          <w:bCs w:val="false"/>
          <w:color w:val="000000"/>
          <w:kern w:val="0"/>
          <w:sz w:val="20"/>
          <w:szCs w:val="20"/>
          <w:lang w:val="it-IT" w:eastAsia="en-US" w:bidi="ar-SA"/>
        </w:rPr>
        <w:t>singole</w:t>
      </w:r>
      <w:r>
        <w:rPr>
          <w:rFonts w:eastAsia="Calibri" w:ascii="Calibri" w:hAnsi="Calibri"/>
          <w:b w:val="false"/>
          <w:bCs w:val="false"/>
          <w:color w:val="000000"/>
          <w:sz w:val="20"/>
          <w:szCs w:val="20"/>
          <w:lang w:eastAsia="en-US"/>
        </w:rPr>
        <w:t xml:space="preserve"> giornate di corso o ancora non risultino dalla certificazione rilasciata).</w:t>
      </w:r>
    </w:p>
    <w:p>
      <w:pPr>
        <w:pStyle w:val="Normal"/>
        <w:spacing w:lineRule="exact" w:line="240"/>
        <w:ind w:left="340" w:hanging="0"/>
        <w:jc w:val="both"/>
        <w:rPr>
          <w:rFonts w:ascii="Calibri" w:hAnsi="Calibri"/>
          <w:b/>
          <w:b/>
          <w:color w:val="000000"/>
          <w:sz w:val="20"/>
          <w:szCs w:val="20"/>
        </w:rPr>
      </w:pPr>
      <w:r>
        <w:rPr>
          <w:rFonts w:ascii="Calibri" w:hAnsi="Calibri"/>
          <w:b/>
          <w:color w:val="000000"/>
          <w:sz w:val="20"/>
          <w:szCs w:val="20"/>
        </w:rPr>
      </w:r>
    </w:p>
    <w:tbl>
      <w:tblPr>
        <w:tblW w:w="8963" w:type="dxa"/>
        <w:jc w:val="left"/>
        <w:tblInd w:w="58" w:type="dxa"/>
        <w:tblCellMar>
          <w:top w:w="0" w:type="dxa"/>
          <w:left w:w="50" w:type="dxa"/>
          <w:bottom w:w="0" w:type="dxa"/>
          <w:right w:w="70" w:type="dxa"/>
        </w:tblCellMar>
        <w:tblLook w:val="04a0"/>
      </w:tblPr>
      <w:tblGrid>
        <w:gridCol w:w="4648"/>
        <w:gridCol w:w="1068"/>
        <w:gridCol w:w="1072"/>
        <w:gridCol w:w="1142"/>
        <w:gridCol w:w="1033"/>
      </w:tblGrid>
      <w:tr>
        <w:trPr>
          <w:trHeight w:val="315" w:hRule="atLeast"/>
        </w:trPr>
        <w:tc>
          <w:tcPr>
            <w:tcW w:w="4648" w:type="dxa"/>
            <w:vMerge w:val="restart"/>
            <w:tcBorders>
              <w:top w:val="single" w:sz="8" w:space="0" w:color="00000A"/>
              <w:left w:val="single" w:sz="8" w:space="0" w:color="00000A"/>
              <w:bottom w:val="single" w:sz="8" w:space="0" w:color="000001"/>
              <w:right w:val="single" w:sz="8"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FORMAZIONE CERTIFICATA E PERTINENTE*</w:t>
            </w:r>
          </w:p>
        </w:tc>
        <w:tc>
          <w:tcPr>
            <w:tcW w:w="4315" w:type="dxa"/>
            <w:gridSpan w:val="4"/>
            <w:tcBorders>
              <w:top w:val="single" w:sz="8" w:space="0" w:color="00000A"/>
              <w:left w:val="single" w:sz="8" w:space="0" w:color="00000A"/>
              <w:bottom w:val="single" w:sz="8" w:space="0" w:color="00000A"/>
              <w:right w:val="single" w:sz="8" w:space="0" w:color="000001"/>
            </w:tcBorders>
            <w:shd w:fill="auto" w:val="clear"/>
            <w:vAlign w:val="bottom"/>
          </w:tcPr>
          <w:p>
            <w:pPr>
              <w:pStyle w:val="Normal"/>
              <w:jc w:val="center"/>
              <w:rPr>
                <w:rFonts w:ascii="Calibri" w:hAnsi="Calibri" w:eastAsia="Calibri"/>
                <w:color w:val="000000"/>
                <w:sz w:val="20"/>
                <w:szCs w:val="20"/>
                <w:lang w:eastAsia="en-US"/>
              </w:rPr>
            </w:pPr>
            <w:r>
              <w:rPr>
                <w:rFonts w:eastAsia="Calibri" w:ascii="Calibri" w:hAnsi="Calibri"/>
                <w:color w:val="000000"/>
                <w:sz w:val="20"/>
                <w:szCs w:val="20"/>
                <w:lang w:eastAsia="en-US"/>
              </w:rPr>
            </w:r>
          </w:p>
        </w:tc>
      </w:tr>
      <w:tr>
        <w:trPr>
          <w:trHeight w:val="315" w:hRule="atLeast"/>
        </w:trPr>
        <w:tc>
          <w:tcPr>
            <w:tcW w:w="4648" w:type="dxa"/>
            <w:vMerge w:val="continue"/>
            <w:tcBorders>
              <w:top w:val="single" w:sz="8" w:space="0" w:color="00000A"/>
              <w:left w:val="single" w:sz="8" w:space="0" w:color="00000A"/>
              <w:bottom w:val="single" w:sz="8" w:space="0" w:color="000001"/>
              <w:right w:val="single" w:sz="8" w:space="0" w:color="00000A"/>
            </w:tcBorders>
            <w:shd w:fill="auto" w:val="clear"/>
            <w:vAlign w:val="center"/>
          </w:tcPr>
          <w:p>
            <w:pPr>
              <w:pStyle w:val="Normal"/>
              <w:rPr>
                <w:rFonts w:ascii="Calibri" w:hAnsi="Calibri" w:eastAsia="Calibri"/>
                <w:color w:val="000000"/>
                <w:sz w:val="20"/>
                <w:szCs w:val="20"/>
                <w:lang w:eastAsia="en-US"/>
              </w:rPr>
            </w:pPr>
            <w:r>
              <w:rPr>
                <w:rFonts w:eastAsia="Calibri" w:ascii="Calibri" w:hAnsi="Calibri"/>
                <w:color w:val="000000"/>
                <w:sz w:val="20"/>
                <w:szCs w:val="20"/>
                <w:lang w:eastAsia="en-US"/>
              </w:rPr>
            </w:r>
          </w:p>
        </w:tc>
        <w:tc>
          <w:tcPr>
            <w:tcW w:w="1068" w:type="dxa"/>
            <w:tcBorders>
              <w:top w:val="single" w:sz="8" w:space="0" w:color="000001"/>
              <w:left w:val="single" w:sz="8" w:space="0" w:color="00000A"/>
              <w:bottom w:val="single" w:sz="8" w:space="0" w:color="00000A"/>
              <w:right w:val="single" w:sz="8"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CAT. A</w:t>
            </w:r>
          </w:p>
        </w:tc>
        <w:tc>
          <w:tcPr>
            <w:tcW w:w="1072" w:type="dxa"/>
            <w:tcBorders>
              <w:top w:val="single" w:sz="8" w:space="0" w:color="000001"/>
              <w:left w:val="single" w:sz="8" w:space="0" w:color="00000A"/>
              <w:bottom w:val="single" w:sz="8" w:space="0" w:color="00000A"/>
              <w:right w:val="single" w:sz="8"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CAT. B</w:t>
            </w:r>
          </w:p>
        </w:tc>
        <w:tc>
          <w:tcPr>
            <w:tcW w:w="1142" w:type="dxa"/>
            <w:tcBorders>
              <w:top w:val="single" w:sz="8" w:space="0" w:color="000001"/>
              <w:left w:val="single" w:sz="8" w:space="0" w:color="00000A"/>
              <w:bottom w:val="single" w:sz="8" w:space="0" w:color="00000A"/>
              <w:right w:val="single" w:sz="8"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CAT.C</w:t>
            </w:r>
          </w:p>
        </w:tc>
        <w:tc>
          <w:tcPr>
            <w:tcW w:w="1033" w:type="dxa"/>
            <w:tcBorders>
              <w:top w:val="single" w:sz="8" w:space="0" w:color="000001"/>
              <w:left w:val="single" w:sz="8" w:space="0" w:color="00000A"/>
              <w:bottom w:val="single" w:sz="8" w:space="0" w:color="00000A"/>
              <w:right w:val="single" w:sz="8"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CAT. D</w:t>
            </w:r>
          </w:p>
        </w:tc>
      </w:tr>
      <w:tr>
        <w:trPr>
          <w:trHeight w:val="315" w:hRule="atLeast"/>
        </w:trPr>
        <w:tc>
          <w:tcPr>
            <w:tcW w:w="4648" w:type="dxa"/>
            <w:tcBorders>
              <w:top w:val="single" w:sz="8" w:space="0" w:color="000001"/>
              <w:left w:val="single" w:sz="8" w:space="0" w:color="00000A"/>
              <w:bottom w:val="single" w:sz="8" w:space="0" w:color="00000A"/>
              <w:right w:val="single" w:sz="8"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Punteggio massimo attribuibile</w:t>
            </w:r>
          </w:p>
        </w:tc>
        <w:tc>
          <w:tcPr>
            <w:tcW w:w="1068" w:type="dxa"/>
            <w:tcBorders>
              <w:top w:val="single" w:sz="8" w:space="0" w:color="000001"/>
              <w:left w:val="single" w:sz="8" w:space="0" w:color="00000A"/>
              <w:bottom w:val="single" w:sz="4" w:space="0" w:color="00000A"/>
              <w:right w:val="single" w:sz="4"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25</w:t>
            </w:r>
          </w:p>
        </w:tc>
        <w:tc>
          <w:tcPr>
            <w:tcW w:w="1072" w:type="dxa"/>
            <w:tcBorders>
              <w:top w:val="single" w:sz="8" w:space="0" w:color="000001"/>
              <w:left w:val="single" w:sz="8" w:space="0" w:color="00000A"/>
              <w:bottom w:val="single" w:sz="4" w:space="0" w:color="00000A"/>
              <w:right w:val="single" w:sz="4"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25</w:t>
            </w:r>
          </w:p>
        </w:tc>
        <w:tc>
          <w:tcPr>
            <w:tcW w:w="1142" w:type="dxa"/>
            <w:tcBorders>
              <w:top w:val="single" w:sz="8" w:space="0" w:color="000001"/>
              <w:left w:val="single" w:sz="8" w:space="0" w:color="00000A"/>
              <w:bottom w:val="single" w:sz="4" w:space="0" w:color="00000A"/>
              <w:right w:val="single" w:sz="4"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25</w:t>
            </w:r>
          </w:p>
        </w:tc>
        <w:tc>
          <w:tcPr>
            <w:tcW w:w="1033" w:type="dxa"/>
            <w:tcBorders>
              <w:top w:val="single" w:sz="8" w:space="0" w:color="000001"/>
              <w:left w:val="single" w:sz="8" w:space="0" w:color="00000A"/>
              <w:bottom w:val="single" w:sz="4" w:space="0" w:color="00000A"/>
              <w:right w:val="single" w:sz="8"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25</w:t>
            </w:r>
          </w:p>
        </w:tc>
      </w:tr>
      <w:tr>
        <w:trPr>
          <w:trHeight w:val="1099" w:hRule="atLeast"/>
        </w:trPr>
        <w:tc>
          <w:tcPr>
            <w:tcW w:w="4648" w:type="dxa"/>
            <w:tcBorders>
              <w:top w:val="single" w:sz="8" w:space="0" w:color="000001"/>
              <w:left w:val="single" w:sz="8" w:space="0" w:color="00000A"/>
              <w:bottom w:val="single" w:sz="8" w:space="0" w:color="00000A"/>
              <w:right w:val="single" w:sz="8"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 xml:space="preserve">Formazione </w:t>
            </w:r>
            <w:bookmarkStart w:id="0" w:name="__DdeLink__38194_2136474116"/>
            <w:r>
              <w:rPr>
                <w:rFonts w:eastAsia="Calibri" w:ascii="Calibri" w:hAnsi="Calibri"/>
                <w:color w:val="000000"/>
                <w:sz w:val="20"/>
                <w:szCs w:val="20"/>
                <w:lang w:eastAsia="en-US"/>
              </w:rPr>
              <w:t>senza esame finale</w:t>
            </w:r>
            <w:bookmarkEnd w:id="0"/>
            <w:r>
              <w:rPr>
                <w:rFonts w:eastAsia="Calibri" w:ascii="Calibri" w:hAnsi="Calibri"/>
                <w:color w:val="000000"/>
                <w:sz w:val="20"/>
                <w:szCs w:val="20"/>
                <w:lang w:eastAsia="en-US"/>
              </w:rPr>
              <w:t>:</w:t>
            </w:r>
          </w:p>
          <w:p>
            <w:pPr>
              <w:pStyle w:val="Normal"/>
              <w:rPr>
                <w:rFonts w:ascii="Calibri" w:hAnsi="Calibri"/>
                <w:color w:val="000000"/>
                <w:sz w:val="20"/>
                <w:szCs w:val="20"/>
              </w:rPr>
            </w:pPr>
            <w:r>
              <w:rPr>
                <w:rFonts w:eastAsia="Calibri" w:ascii="Calibri" w:hAnsi="Calibri"/>
                <w:color w:val="000000"/>
                <w:sz w:val="20"/>
                <w:szCs w:val="20"/>
                <w:lang w:eastAsia="en-US"/>
              </w:rPr>
              <w:t>Punti:</w:t>
            </w:r>
          </w:p>
          <w:p>
            <w:pPr>
              <w:pStyle w:val="Normal"/>
              <w:numPr>
                <w:ilvl w:val="0"/>
                <w:numId w:val="6"/>
              </w:numPr>
              <w:rPr>
                <w:rFonts w:ascii="Calibri" w:hAnsi="Calibri"/>
                <w:color w:val="000000"/>
                <w:sz w:val="20"/>
                <w:szCs w:val="20"/>
              </w:rPr>
            </w:pPr>
            <w:r>
              <w:rPr>
                <w:rFonts w:eastAsia="Calibri" w:ascii="Calibri" w:hAnsi="Calibri"/>
                <w:color w:val="000000"/>
                <w:sz w:val="20"/>
                <w:szCs w:val="20"/>
                <w:lang w:eastAsia="en-US"/>
              </w:rPr>
              <w:t>0,50 per ogni giornata di corso;</w:t>
            </w:r>
          </w:p>
          <w:p>
            <w:pPr>
              <w:pStyle w:val="Normal"/>
              <w:numPr>
                <w:ilvl w:val="0"/>
                <w:numId w:val="6"/>
              </w:numPr>
              <w:rPr>
                <w:rFonts w:ascii="Calibri" w:hAnsi="Calibri"/>
                <w:color w:val="000000"/>
                <w:sz w:val="20"/>
                <w:szCs w:val="20"/>
              </w:rPr>
            </w:pPr>
            <w:r>
              <w:rPr>
                <w:rFonts w:eastAsia="Calibri" w:ascii="Calibri" w:hAnsi="Calibri"/>
                <w:color w:val="000000"/>
                <w:sz w:val="20"/>
                <w:szCs w:val="20"/>
                <w:lang w:eastAsia="en-US"/>
              </w:rPr>
              <w:t>0,50 per ogni 6 ore di corso</w:t>
            </w:r>
          </w:p>
          <w:p>
            <w:pPr>
              <w:pStyle w:val="Normal"/>
              <w:rPr>
                <w:rFonts w:ascii="Calibri" w:hAnsi="Calibri" w:eastAsia="Calibri"/>
                <w:color w:val="000000"/>
                <w:sz w:val="20"/>
                <w:szCs w:val="20"/>
                <w:lang w:eastAsia="en-US"/>
              </w:rPr>
            </w:pPr>
            <w:r>
              <w:rPr>
                <w:rFonts w:eastAsia="Calibri" w:ascii="Calibri" w:hAnsi="Calibri"/>
                <w:color w:val="000000"/>
                <w:sz w:val="20"/>
                <w:szCs w:val="20"/>
                <w:lang w:eastAsia="en-US"/>
              </w:rPr>
            </w:r>
          </w:p>
        </w:tc>
        <w:tc>
          <w:tcPr>
            <w:tcW w:w="1068" w:type="dxa"/>
            <w:tcBorders>
              <w:top w:val="single" w:sz="8" w:space="0" w:color="000001"/>
              <w:left w:val="single" w:sz="8" w:space="0" w:color="00000A"/>
              <w:bottom w:val="single" w:sz="4" w:space="0" w:color="00000A"/>
              <w:right w:val="single" w:sz="4" w:space="0" w:color="00000A"/>
            </w:tcBorders>
            <w:shd w:fill="auto" w:val="clear"/>
            <w:vAlign w:val="bottom"/>
          </w:tcPr>
          <w:p>
            <w:pPr>
              <w:pStyle w:val="Normal"/>
              <w:jc w:val="center"/>
              <w:rPr>
                <w:rFonts w:ascii="Calibri" w:hAnsi="Calibri" w:eastAsia="Calibri"/>
                <w:color w:val="000000"/>
                <w:sz w:val="20"/>
                <w:szCs w:val="20"/>
                <w:lang w:eastAsia="en-US"/>
              </w:rPr>
            </w:pPr>
            <w:r>
              <w:rPr>
                <w:rFonts w:eastAsia="Calibri" w:ascii="Calibri" w:hAnsi="Calibri"/>
                <w:color w:val="000000"/>
                <w:sz w:val="20"/>
                <w:szCs w:val="20"/>
                <w:lang w:eastAsia="en-US"/>
              </w:rPr>
            </w:r>
          </w:p>
        </w:tc>
        <w:tc>
          <w:tcPr>
            <w:tcW w:w="1072" w:type="dxa"/>
            <w:tcBorders>
              <w:top w:val="single" w:sz="8" w:space="0" w:color="000001"/>
              <w:left w:val="single" w:sz="8" w:space="0" w:color="00000A"/>
              <w:bottom w:val="single" w:sz="4" w:space="0" w:color="00000A"/>
              <w:right w:val="single" w:sz="4" w:space="0" w:color="00000A"/>
            </w:tcBorders>
            <w:shd w:fill="auto" w:val="clear"/>
            <w:vAlign w:val="bottom"/>
          </w:tcPr>
          <w:p>
            <w:pPr>
              <w:pStyle w:val="Normal"/>
              <w:jc w:val="center"/>
              <w:rPr>
                <w:rFonts w:ascii="Calibri" w:hAnsi="Calibri" w:eastAsia="Calibri"/>
                <w:color w:val="000000"/>
                <w:sz w:val="20"/>
                <w:szCs w:val="20"/>
                <w:lang w:eastAsia="en-US"/>
              </w:rPr>
            </w:pPr>
            <w:r>
              <w:rPr>
                <w:rFonts w:eastAsia="Calibri" w:ascii="Calibri" w:hAnsi="Calibri"/>
                <w:color w:val="000000"/>
                <w:sz w:val="20"/>
                <w:szCs w:val="20"/>
                <w:lang w:eastAsia="en-US"/>
              </w:rPr>
            </w:r>
          </w:p>
        </w:tc>
        <w:tc>
          <w:tcPr>
            <w:tcW w:w="1142" w:type="dxa"/>
            <w:tcBorders>
              <w:top w:val="single" w:sz="8" w:space="0" w:color="000001"/>
              <w:left w:val="single" w:sz="8" w:space="0" w:color="00000A"/>
              <w:bottom w:val="single" w:sz="4" w:space="0" w:color="00000A"/>
              <w:right w:val="single" w:sz="4" w:space="0" w:color="00000A"/>
            </w:tcBorders>
            <w:shd w:fill="auto" w:val="clear"/>
            <w:vAlign w:val="bottom"/>
          </w:tcPr>
          <w:p>
            <w:pPr>
              <w:pStyle w:val="Normal"/>
              <w:jc w:val="center"/>
              <w:rPr>
                <w:rFonts w:ascii="Calibri" w:hAnsi="Calibri" w:eastAsia="Calibri"/>
                <w:color w:val="000000"/>
                <w:sz w:val="20"/>
                <w:szCs w:val="20"/>
                <w:lang w:eastAsia="en-US"/>
              </w:rPr>
            </w:pPr>
            <w:r>
              <w:rPr>
                <w:rFonts w:eastAsia="Calibri" w:ascii="Calibri" w:hAnsi="Calibri"/>
                <w:color w:val="000000"/>
                <w:sz w:val="20"/>
                <w:szCs w:val="20"/>
                <w:lang w:eastAsia="en-US"/>
              </w:rPr>
            </w:r>
          </w:p>
        </w:tc>
        <w:tc>
          <w:tcPr>
            <w:tcW w:w="1033" w:type="dxa"/>
            <w:tcBorders>
              <w:top w:val="single" w:sz="8" w:space="0" w:color="000001"/>
              <w:left w:val="single" w:sz="8" w:space="0" w:color="00000A"/>
              <w:bottom w:val="single" w:sz="4" w:space="0" w:color="00000A"/>
              <w:right w:val="single" w:sz="8" w:space="0" w:color="00000A"/>
            </w:tcBorders>
            <w:shd w:fill="auto" w:val="clear"/>
            <w:vAlign w:val="bottom"/>
          </w:tcPr>
          <w:p>
            <w:pPr>
              <w:pStyle w:val="Normal"/>
              <w:jc w:val="center"/>
              <w:rPr>
                <w:rFonts w:ascii="Calibri" w:hAnsi="Calibri" w:eastAsia="Calibri"/>
                <w:color w:val="000000"/>
                <w:sz w:val="20"/>
                <w:szCs w:val="20"/>
                <w:lang w:eastAsia="en-US"/>
              </w:rPr>
            </w:pPr>
            <w:r>
              <w:rPr>
                <w:rFonts w:eastAsia="Calibri" w:ascii="Calibri" w:hAnsi="Calibri"/>
                <w:color w:val="000000"/>
                <w:sz w:val="20"/>
                <w:szCs w:val="20"/>
                <w:lang w:eastAsia="en-US"/>
              </w:rPr>
            </w:r>
          </w:p>
        </w:tc>
      </w:tr>
      <w:tr>
        <w:trPr>
          <w:trHeight w:val="1050" w:hRule="atLeast"/>
        </w:trPr>
        <w:tc>
          <w:tcPr>
            <w:tcW w:w="4648" w:type="dxa"/>
            <w:tcBorders>
              <w:top w:val="single" w:sz="8" w:space="0" w:color="000001"/>
              <w:left w:val="single" w:sz="8" w:space="0" w:color="00000A"/>
              <w:bottom w:val="single" w:sz="8" w:space="0" w:color="00000A"/>
              <w:right w:val="single" w:sz="8"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Formazione con esame finale:</w:t>
            </w:r>
          </w:p>
          <w:p>
            <w:pPr>
              <w:pStyle w:val="Normal"/>
              <w:rPr>
                <w:rFonts w:ascii="Calibri" w:hAnsi="Calibri"/>
                <w:color w:val="000000"/>
                <w:sz w:val="20"/>
                <w:szCs w:val="20"/>
              </w:rPr>
            </w:pPr>
            <w:r>
              <w:rPr>
                <w:rFonts w:eastAsia="Calibri" w:ascii="Calibri" w:hAnsi="Calibri"/>
                <w:color w:val="000000"/>
                <w:sz w:val="20"/>
                <w:szCs w:val="20"/>
                <w:lang w:eastAsia="en-US"/>
              </w:rPr>
              <w:t>Punti:</w:t>
            </w:r>
          </w:p>
          <w:p>
            <w:pPr>
              <w:pStyle w:val="Normal"/>
              <w:numPr>
                <w:ilvl w:val="0"/>
                <w:numId w:val="6"/>
              </w:numPr>
              <w:rPr>
                <w:rFonts w:ascii="Calibri" w:hAnsi="Calibri"/>
                <w:color w:val="000000"/>
                <w:sz w:val="20"/>
                <w:szCs w:val="20"/>
              </w:rPr>
            </w:pPr>
            <w:r>
              <w:rPr>
                <w:rFonts w:eastAsia="Calibri" w:ascii="Calibri" w:hAnsi="Calibri"/>
                <w:color w:val="000000"/>
                <w:sz w:val="20"/>
                <w:szCs w:val="20"/>
                <w:lang w:eastAsia="en-US"/>
              </w:rPr>
              <w:t>0,75 per ogni giornata di corso;</w:t>
            </w:r>
          </w:p>
          <w:p>
            <w:pPr>
              <w:pStyle w:val="Normal"/>
              <w:numPr>
                <w:ilvl w:val="0"/>
                <w:numId w:val="6"/>
              </w:numPr>
              <w:rPr>
                <w:rFonts w:ascii="Calibri" w:hAnsi="Calibri"/>
                <w:color w:val="000000"/>
                <w:sz w:val="20"/>
                <w:szCs w:val="20"/>
              </w:rPr>
            </w:pPr>
            <w:r>
              <w:rPr>
                <w:rFonts w:eastAsia="Calibri" w:ascii="Calibri" w:hAnsi="Calibri"/>
                <w:color w:val="000000"/>
                <w:sz w:val="20"/>
                <w:szCs w:val="20"/>
                <w:lang w:eastAsia="en-US"/>
              </w:rPr>
              <w:t>0,75 per ogni 6 ore di corso</w:t>
            </w:r>
          </w:p>
          <w:p>
            <w:pPr>
              <w:pStyle w:val="Normal"/>
              <w:rPr>
                <w:rFonts w:ascii="Calibri" w:hAnsi="Calibri" w:eastAsia="Calibri"/>
                <w:color w:val="000000"/>
                <w:sz w:val="20"/>
                <w:szCs w:val="20"/>
                <w:lang w:eastAsia="en-US"/>
              </w:rPr>
            </w:pPr>
            <w:r>
              <w:rPr>
                <w:rFonts w:eastAsia="Calibri" w:ascii="Calibri" w:hAnsi="Calibri"/>
                <w:color w:val="000000"/>
                <w:sz w:val="20"/>
                <w:szCs w:val="20"/>
                <w:lang w:eastAsia="en-US"/>
              </w:rPr>
            </w:r>
          </w:p>
        </w:tc>
        <w:tc>
          <w:tcPr>
            <w:tcW w:w="1068" w:type="dxa"/>
            <w:tcBorders>
              <w:top w:val="single" w:sz="8" w:space="0" w:color="000001"/>
              <w:left w:val="single" w:sz="8" w:space="0" w:color="00000A"/>
              <w:bottom w:val="single" w:sz="4" w:space="0" w:color="00000A"/>
              <w:right w:val="single" w:sz="4" w:space="0" w:color="00000A"/>
            </w:tcBorders>
            <w:shd w:fill="auto" w:val="clear"/>
            <w:vAlign w:val="bottom"/>
          </w:tcPr>
          <w:p>
            <w:pPr>
              <w:pStyle w:val="Normal"/>
              <w:jc w:val="center"/>
              <w:rPr>
                <w:rFonts w:ascii="Calibri" w:hAnsi="Calibri" w:eastAsia="Calibri"/>
                <w:color w:val="000000"/>
                <w:sz w:val="20"/>
                <w:szCs w:val="20"/>
                <w:lang w:eastAsia="en-US"/>
              </w:rPr>
            </w:pPr>
            <w:r>
              <w:rPr>
                <w:rFonts w:eastAsia="Calibri" w:ascii="Calibri" w:hAnsi="Calibri"/>
                <w:color w:val="000000"/>
                <w:sz w:val="20"/>
                <w:szCs w:val="20"/>
                <w:lang w:eastAsia="en-US"/>
              </w:rPr>
            </w:r>
          </w:p>
        </w:tc>
        <w:tc>
          <w:tcPr>
            <w:tcW w:w="1072" w:type="dxa"/>
            <w:tcBorders>
              <w:top w:val="single" w:sz="8" w:space="0" w:color="000001"/>
              <w:left w:val="single" w:sz="8" w:space="0" w:color="00000A"/>
              <w:bottom w:val="single" w:sz="4" w:space="0" w:color="00000A"/>
              <w:right w:val="single" w:sz="4" w:space="0" w:color="00000A"/>
            </w:tcBorders>
            <w:shd w:fill="auto" w:val="clear"/>
            <w:vAlign w:val="bottom"/>
          </w:tcPr>
          <w:p>
            <w:pPr>
              <w:pStyle w:val="Normal"/>
              <w:jc w:val="center"/>
              <w:rPr>
                <w:rFonts w:ascii="Calibri" w:hAnsi="Calibri" w:eastAsia="Calibri"/>
                <w:color w:val="000000"/>
                <w:sz w:val="20"/>
                <w:szCs w:val="20"/>
                <w:lang w:eastAsia="en-US"/>
              </w:rPr>
            </w:pPr>
            <w:r>
              <w:rPr>
                <w:rFonts w:eastAsia="Calibri" w:ascii="Calibri" w:hAnsi="Calibri"/>
                <w:color w:val="000000"/>
                <w:sz w:val="20"/>
                <w:szCs w:val="20"/>
                <w:lang w:eastAsia="en-US"/>
              </w:rPr>
            </w:r>
          </w:p>
        </w:tc>
        <w:tc>
          <w:tcPr>
            <w:tcW w:w="1142" w:type="dxa"/>
            <w:tcBorders>
              <w:top w:val="single" w:sz="8" w:space="0" w:color="000001"/>
              <w:left w:val="single" w:sz="8" w:space="0" w:color="00000A"/>
              <w:bottom w:val="single" w:sz="4" w:space="0" w:color="00000A"/>
              <w:right w:val="single" w:sz="4" w:space="0" w:color="00000A"/>
            </w:tcBorders>
            <w:shd w:fill="auto" w:val="clear"/>
            <w:vAlign w:val="bottom"/>
          </w:tcPr>
          <w:p>
            <w:pPr>
              <w:pStyle w:val="Normal"/>
              <w:jc w:val="center"/>
              <w:rPr>
                <w:rFonts w:ascii="Calibri" w:hAnsi="Calibri" w:eastAsia="Calibri"/>
                <w:color w:val="000000"/>
                <w:sz w:val="20"/>
                <w:szCs w:val="20"/>
                <w:lang w:eastAsia="en-US"/>
              </w:rPr>
            </w:pPr>
            <w:r>
              <w:rPr>
                <w:rFonts w:eastAsia="Calibri" w:ascii="Calibri" w:hAnsi="Calibri"/>
                <w:color w:val="000000"/>
                <w:sz w:val="20"/>
                <w:szCs w:val="20"/>
                <w:lang w:eastAsia="en-US"/>
              </w:rPr>
            </w:r>
          </w:p>
        </w:tc>
        <w:tc>
          <w:tcPr>
            <w:tcW w:w="1033" w:type="dxa"/>
            <w:tcBorders>
              <w:top w:val="single" w:sz="8" w:space="0" w:color="000001"/>
              <w:left w:val="single" w:sz="8" w:space="0" w:color="00000A"/>
              <w:bottom w:val="single" w:sz="4" w:space="0" w:color="00000A"/>
              <w:right w:val="single" w:sz="8" w:space="0" w:color="00000A"/>
            </w:tcBorders>
            <w:shd w:fill="auto" w:val="clear"/>
            <w:vAlign w:val="bottom"/>
          </w:tcPr>
          <w:p>
            <w:pPr>
              <w:pStyle w:val="Normal"/>
              <w:jc w:val="center"/>
              <w:rPr>
                <w:rFonts w:ascii="Calibri" w:hAnsi="Calibri" w:eastAsia="Calibri"/>
                <w:color w:val="000000"/>
                <w:sz w:val="20"/>
                <w:szCs w:val="20"/>
                <w:lang w:eastAsia="en-US"/>
              </w:rPr>
            </w:pPr>
            <w:r>
              <w:rPr>
                <w:rFonts w:eastAsia="Calibri" w:ascii="Calibri" w:hAnsi="Calibri"/>
                <w:color w:val="000000"/>
                <w:sz w:val="20"/>
                <w:szCs w:val="20"/>
                <w:lang w:eastAsia="en-US"/>
              </w:rPr>
            </w:r>
          </w:p>
        </w:tc>
      </w:tr>
      <w:tr>
        <w:trPr>
          <w:trHeight w:val="1816" w:hRule="atLeast"/>
        </w:trPr>
        <w:tc>
          <w:tcPr>
            <w:tcW w:w="4648" w:type="dxa"/>
            <w:tcBorders>
              <w:top w:val="single" w:sz="8" w:space="0" w:color="000001"/>
              <w:left w:val="single" w:sz="8" w:space="0" w:color="00000A"/>
              <w:bottom w:val="single" w:sz="8" w:space="0" w:color="00000A"/>
              <w:right w:val="single" w:sz="8"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Formazione obbligatoria.</w:t>
            </w:r>
          </w:p>
          <w:p>
            <w:pPr>
              <w:pStyle w:val="Normal"/>
              <w:rPr>
                <w:rFonts w:ascii="Calibri" w:hAnsi="Calibri"/>
                <w:color w:val="000000"/>
                <w:sz w:val="20"/>
                <w:szCs w:val="20"/>
              </w:rPr>
            </w:pPr>
            <w:r>
              <w:rPr>
                <w:rFonts w:eastAsia="Calibri" w:ascii="Calibri" w:hAnsi="Calibri"/>
                <w:color w:val="000000"/>
                <w:sz w:val="20"/>
                <w:szCs w:val="20"/>
                <w:lang w:eastAsia="en-US"/>
              </w:rPr>
              <w:t>Si considera formazione obbligatoria di norma quella relativa alla formazione sulla salute e sicurezza nei luoghi di lavoro, sull’anticorruzione</w:t>
            </w:r>
          </w:p>
          <w:p>
            <w:pPr>
              <w:pStyle w:val="Normal"/>
              <w:rPr>
                <w:rFonts w:ascii="Calibri" w:hAnsi="Calibri"/>
                <w:color w:val="000000"/>
                <w:sz w:val="20"/>
                <w:szCs w:val="20"/>
              </w:rPr>
            </w:pPr>
            <w:r>
              <w:rPr>
                <w:rFonts w:eastAsia="Calibri" w:ascii="Calibri" w:hAnsi="Calibri"/>
                <w:color w:val="000000"/>
                <w:sz w:val="20"/>
                <w:szCs w:val="20"/>
                <w:lang w:eastAsia="en-US"/>
              </w:rPr>
              <w:t xml:space="preserve"> </w:t>
            </w:r>
            <w:r>
              <w:rPr>
                <w:rFonts w:eastAsia="Calibri" w:ascii="Calibri" w:hAnsi="Calibri"/>
                <w:color w:val="000000"/>
                <w:sz w:val="20"/>
                <w:szCs w:val="20"/>
                <w:lang w:eastAsia="en-US"/>
              </w:rPr>
              <w:t>Punti:</w:t>
            </w:r>
          </w:p>
          <w:p>
            <w:pPr>
              <w:pStyle w:val="Normal"/>
              <w:numPr>
                <w:ilvl w:val="0"/>
                <w:numId w:val="6"/>
              </w:numPr>
              <w:rPr>
                <w:rFonts w:ascii="Calibri" w:hAnsi="Calibri"/>
                <w:color w:val="000000"/>
                <w:sz w:val="20"/>
                <w:szCs w:val="20"/>
              </w:rPr>
            </w:pPr>
            <w:r>
              <w:rPr>
                <w:rFonts w:eastAsia="Calibri" w:ascii="Calibri" w:hAnsi="Calibri"/>
                <w:color w:val="000000"/>
                <w:sz w:val="20"/>
                <w:szCs w:val="20"/>
                <w:lang w:eastAsia="en-US"/>
              </w:rPr>
              <w:t>0,25 per ogni giornata di corso;</w:t>
            </w:r>
          </w:p>
          <w:p>
            <w:pPr>
              <w:pStyle w:val="Normal"/>
              <w:numPr>
                <w:ilvl w:val="0"/>
                <w:numId w:val="6"/>
              </w:numPr>
              <w:rPr>
                <w:rFonts w:ascii="Calibri" w:hAnsi="Calibri"/>
                <w:color w:val="000000"/>
                <w:sz w:val="20"/>
                <w:szCs w:val="20"/>
              </w:rPr>
            </w:pPr>
            <w:r>
              <w:rPr>
                <w:rFonts w:eastAsia="Calibri" w:ascii="Calibri" w:hAnsi="Calibri"/>
                <w:color w:val="000000"/>
                <w:sz w:val="20"/>
                <w:szCs w:val="20"/>
                <w:lang w:eastAsia="en-US"/>
              </w:rPr>
              <w:t>0,25 per ogni 6 ore di corso</w:t>
            </w:r>
          </w:p>
          <w:p>
            <w:pPr>
              <w:pStyle w:val="Normal"/>
              <w:rPr>
                <w:rFonts w:ascii="Calibri" w:hAnsi="Calibri" w:eastAsia="Calibri"/>
                <w:color w:val="000000"/>
                <w:sz w:val="20"/>
                <w:szCs w:val="20"/>
                <w:lang w:eastAsia="en-US"/>
              </w:rPr>
            </w:pPr>
            <w:r>
              <w:rPr>
                <w:rFonts w:eastAsia="Calibri" w:ascii="Calibri" w:hAnsi="Calibri"/>
                <w:color w:val="000000"/>
                <w:sz w:val="20"/>
                <w:szCs w:val="20"/>
                <w:lang w:eastAsia="en-US"/>
              </w:rPr>
            </w:r>
          </w:p>
        </w:tc>
        <w:tc>
          <w:tcPr>
            <w:tcW w:w="1068" w:type="dxa"/>
            <w:tcBorders>
              <w:top w:val="single" w:sz="8" w:space="0" w:color="000001"/>
              <w:left w:val="single" w:sz="8" w:space="0" w:color="00000A"/>
              <w:bottom w:val="single" w:sz="8" w:space="0" w:color="00000A"/>
              <w:right w:val="single" w:sz="4" w:space="0" w:color="00000A"/>
            </w:tcBorders>
            <w:shd w:fill="auto" w:val="clear"/>
            <w:vAlign w:val="bottom"/>
          </w:tcPr>
          <w:p>
            <w:pPr>
              <w:pStyle w:val="Normal"/>
              <w:jc w:val="center"/>
              <w:rPr>
                <w:rFonts w:ascii="Calibri" w:hAnsi="Calibri" w:eastAsia="Calibri"/>
                <w:color w:val="000000"/>
                <w:sz w:val="20"/>
                <w:szCs w:val="20"/>
                <w:lang w:eastAsia="en-US"/>
              </w:rPr>
            </w:pPr>
            <w:r>
              <w:rPr>
                <w:rFonts w:eastAsia="Calibri" w:ascii="Calibri" w:hAnsi="Calibri"/>
                <w:color w:val="000000"/>
                <w:sz w:val="20"/>
                <w:szCs w:val="20"/>
                <w:lang w:eastAsia="en-US"/>
              </w:rPr>
            </w:r>
          </w:p>
        </w:tc>
        <w:tc>
          <w:tcPr>
            <w:tcW w:w="1072" w:type="dxa"/>
            <w:tcBorders>
              <w:top w:val="single" w:sz="8" w:space="0" w:color="000001"/>
              <w:left w:val="single" w:sz="8" w:space="0" w:color="00000A"/>
              <w:bottom w:val="single" w:sz="8" w:space="0" w:color="00000A"/>
              <w:right w:val="single" w:sz="4" w:space="0" w:color="00000A"/>
            </w:tcBorders>
            <w:shd w:fill="auto" w:val="clear"/>
            <w:vAlign w:val="bottom"/>
          </w:tcPr>
          <w:p>
            <w:pPr>
              <w:pStyle w:val="Normal"/>
              <w:jc w:val="center"/>
              <w:rPr>
                <w:rFonts w:ascii="Calibri" w:hAnsi="Calibri" w:eastAsia="Calibri"/>
                <w:color w:val="000000"/>
                <w:sz w:val="20"/>
                <w:szCs w:val="20"/>
                <w:lang w:eastAsia="en-US"/>
              </w:rPr>
            </w:pPr>
            <w:r>
              <w:rPr>
                <w:rFonts w:eastAsia="Calibri" w:ascii="Calibri" w:hAnsi="Calibri"/>
                <w:color w:val="000000"/>
                <w:sz w:val="20"/>
                <w:szCs w:val="20"/>
                <w:lang w:eastAsia="en-US"/>
              </w:rPr>
            </w:r>
          </w:p>
        </w:tc>
        <w:tc>
          <w:tcPr>
            <w:tcW w:w="1142" w:type="dxa"/>
            <w:tcBorders>
              <w:top w:val="single" w:sz="8" w:space="0" w:color="000001"/>
              <w:left w:val="single" w:sz="8" w:space="0" w:color="00000A"/>
              <w:bottom w:val="single" w:sz="8" w:space="0" w:color="00000A"/>
              <w:right w:val="single" w:sz="4" w:space="0" w:color="00000A"/>
            </w:tcBorders>
            <w:shd w:fill="auto" w:val="clear"/>
            <w:vAlign w:val="bottom"/>
          </w:tcPr>
          <w:p>
            <w:pPr>
              <w:pStyle w:val="Normal"/>
              <w:jc w:val="center"/>
              <w:rPr>
                <w:rFonts w:ascii="Calibri" w:hAnsi="Calibri" w:eastAsia="Calibri"/>
                <w:color w:val="000000"/>
                <w:sz w:val="20"/>
                <w:szCs w:val="20"/>
                <w:lang w:eastAsia="en-US"/>
              </w:rPr>
            </w:pPr>
            <w:r>
              <w:rPr>
                <w:rFonts w:eastAsia="Calibri" w:ascii="Calibri" w:hAnsi="Calibri"/>
                <w:color w:val="000000"/>
                <w:sz w:val="20"/>
                <w:szCs w:val="20"/>
                <w:lang w:eastAsia="en-US"/>
              </w:rPr>
            </w:r>
          </w:p>
        </w:tc>
        <w:tc>
          <w:tcPr>
            <w:tcW w:w="1033" w:type="dxa"/>
            <w:tcBorders>
              <w:top w:val="single" w:sz="8" w:space="0" w:color="000001"/>
              <w:left w:val="single" w:sz="8" w:space="0" w:color="00000A"/>
              <w:bottom w:val="single" w:sz="8" w:space="0" w:color="00000A"/>
              <w:right w:val="single" w:sz="8" w:space="0" w:color="00000A"/>
            </w:tcBorders>
            <w:shd w:fill="auto" w:val="clear"/>
            <w:vAlign w:val="bottom"/>
          </w:tcPr>
          <w:p>
            <w:pPr>
              <w:pStyle w:val="Normal"/>
              <w:jc w:val="center"/>
              <w:rPr>
                <w:rFonts w:ascii="Calibri" w:hAnsi="Calibri" w:eastAsia="Calibri"/>
                <w:color w:val="000000"/>
                <w:sz w:val="20"/>
                <w:szCs w:val="20"/>
                <w:lang w:eastAsia="en-US"/>
              </w:rPr>
            </w:pPr>
            <w:r>
              <w:rPr>
                <w:rFonts w:eastAsia="Calibri" w:ascii="Calibri" w:hAnsi="Calibri"/>
                <w:color w:val="000000"/>
                <w:sz w:val="20"/>
                <w:szCs w:val="20"/>
                <w:lang w:eastAsia="en-US"/>
              </w:rPr>
            </w:r>
          </w:p>
        </w:tc>
      </w:tr>
    </w:tbl>
    <w:p>
      <w:pPr>
        <w:pStyle w:val="Normal"/>
        <w:spacing w:lineRule="exact" w:line="240"/>
        <w:ind w:left="340" w:hanging="0"/>
        <w:jc w:val="both"/>
        <w:rPr>
          <w:rFonts w:ascii="Calibri" w:hAnsi="Calibri"/>
          <w:b/>
          <w:b/>
          <w:color w:val="000000"/>
          <w:sz w:val="20"/>
          <w:szCs w:val="20"/>
        </w:rPr>
      </w:pPr>
      <w:r>
        <w:rPr>
          <w:rFonts w:ascii="Calibri" w:hAnsi="Calibri"/>
          <w:b/>
          <w:color w:val="000000"/>
          <w:sz w:val="20"/>
          <w:szCs w:val="20"/>
        </w:rPr>
      </w:r>
    </w:p>
    <w:p>
      <w:pPr>
        <w:pStyle w:val="Normal"/>
        <w:shd w:val="clear" w:color="auto" w:fill="FFFFFF"/>
        <w:jc w:val="both"/>
        <w:rPr>
          <w:rFonts w:ascii="Calibri" w:hAnsi="Calibri"/>
          <w:color w:val="000000"/>
          <w:sz w:val="20"/>
          <w:szCs w:val="20"/>
        </w:rPr>
      </w:pPr>
      <w:r>
        <w:rPr>
          <w:rFonts w:eastAsia="Calibri" w:ascii="Calibri" w:hAnsi="Calibri"/>
          <w:color w:val="000000"/>
          <w:sz w:val="20"/>
          <w:szCs w:val="20"/>
          <w:lang w:eastAsia="en-US"/>
        </w:rPr>
        <w:t>*Per formazione si intende partecipazione a corsi di formazione, convegni, seminari e corsi di aggiornamento ecc.</w:t>
      </w:r>
    </w:p>
    <w:p>
      <w:pPr>
        <w:pStyle w:val="Normal"/>
        <w:jc w:val="both"/>
        <w:rPr>
          <w:rFonts w:ascii="Calibri" w:hAnsi="Calibri"/>
          <w:color w:val="000000"/>
          <w:sz w:val="20"/>
          <w:szCs w:val="20"/>
        </w:rPr>
      </w:pPr>
      <w:r>
        <w:rPr>
          <w:rFonts w:eastAsia="Calibri" w:ascii="Calibri" w:hAnsi="Calibri"/>
          <w:b/>
          <w:bCs/>
          <w:color w:val="000000"/>
          <w:sz w:val="20"/>
          <w:szCs w:val="20"/>
          <w:u w:val="single"/>
          <w:lang w:eastAsia="en-US"/>
        </w:rPr>
        <w:t>Nel periodo considerato ai fini della selezione, gli ulteriori corsi frequentati presso altri Enti di formazione non in convenzione o non autorizzati dall’Ente di appartenenza non verranno valutati.</w:t>
      </w:r>
    </w:p>
    <w:p>
      <w:pPr>
        <w:pStyle w:val="Normal"/>
        <w:spacing w:lineRule="exact" w:line="240"/>
        <w:ind w:hanging="0"/>
        <w:jc w:val="both"/>
        <w:rPr>
          <w:rFonts w:ascii="Calibri" w:hAnsi="Calibri" w:eastAsia="Calibri" w:cs="Times New Roman"/>
          <w:b w:val="false"/>
          <w:b w:val="false"/>
          <w:bCs w:val="false"/>
          <w:color w:val="000000"/>
          <w:kern w:val="0"/>
          <w:sz w:val="20"/>
          <w:szCs w:val="20"/>
          <w:lang w:val="it-IT" w:eastAsia="en-US" w:bidi="ar-SA"/>
        </w:rPr>
      </w:pPr>
      <w:r>
        <w:rPr>
          <w:rFonts w:eastAsia="Calibri" w:cs="Times New Roman" w:ascii="Calibri" w:hAnsi="Calibri"/>
          <w:b w:val="false"/>
          <w:bCs w:val="false"/>
          <w:color w:val="000000"/>
          <w:kern w:val="0"/>
          <w:sz w:val="20"/>
          <w:szCs w:val="20"/>
          <w:lang w:val="it-IT" w:eastAsia="en-US" w:bidi="ar-SA"/>
        </w:rPr>
        <w:t>Parimenti non sarà valutata la formazione volontaria del dipendente, anche se pertinente e richiesta per la professionalità ricoperta nell’Ente ancorché sia stata autorizzata dal proprio Responsabile di Servizio e svolta durante l’orario di lavoro.</w:t>
      </w:r>
    </w:p>
    <w:p>
      <w:pPr>
        <w:pStyle w:val="Normal"/>
        <w:spacing w:lineRule="exact" w:line="240"/>
        <w:ind w:hanging="0"/>
        <w:jc w:val="both"/>
        <w:rPr>
          <w:rFonts w:ascii="Calibri" w:hAnsi="Calibri" w:eastAsia="Calibri" w:cs="Times New Roman"/>
          <w:b w:val="false"/>
          <w:b w:val="false"/>
          <w:bCs w:val="false"/>
          <w:color w:val="000000"/>
          <w:kern w:val="0"/>
          <w:sz w:val="20"/>
          <w:szCs w:val="20"/>
          <w:lang w:val="it-IT" w:eastAsia="en-US" w:bidi="ar-SA"/>
        </w:rPr>
      </w:pPr>
      <w:r>
        <w:rPr>
          <w:rFonts w:eastAsia="Calibri" w:cs="Times New Roman" w:ascii="Calibri" w:hAnsi="Calibri"/>
          <w:b w:val="false"/>
          <w:bCs w:val="false"/>
          <w:color w:val="000000"/>
          <w:kern w:val="0"/>
          <w:sz w:val="20"/>
          <w:szCs w:val="20"/>
          <w:lang w:val="it-IT" w:eastAsia="en-US" w:bidi="ar-SA"/>
        </w:rPr>
        <w:t xml:space="preserve">Esempio: </w:t>
      </w:r>
    </w:p>
    <w:p>
      <w:pPr>
        <w:pStyle w:val="Normal"/>
        <w:numPr>
          <w:ilvl w:val="0"/>
          <w:numId w:val="10"/>
        </w:numPr>
        <w:spacing w:lineRule="exact" w:line="240"/>
        <w:jc w:val="both"/>
        <w:rPr>
          <w:rFonts w:ascii="Calibri" w:hAnsi="Calibri" w:eastAsia="Calibri" w:cs="Times New Roman"/>
          <w:b w:val="false"/>
          <w:b w:val="false"/>
          <w:bCs w:val="false"/>
          <w:color w:val="000000"/>
          <w:kern w:val="0"/>
          <w:sz w:val="20"/>
          <w:szCs w:val="20"/>
          <w:lang w:val="it-IT" w:eastAsia="en-US" w:bidi="ar-SA"/>
        </w:rPr>
      </w:pPr>
      <w:r>
        <w:rPr>
          <w:rFonts w:eastAsia="Calibri" w:cs="Times New Roman" w:ascii="Calibri" w:hAnsi="Calibri"/>
          <w:b w:val="false"/>
          <w:bCs w:val="false"/>
          <w:color w:val="000000"/>
          <w:kern w:val="0"/>
          <w:sz w:val="20"/>
          <w:szCs w:val="20"/>
          <w:lang w:val="it-IT" w:eastAsia="en-US" w:bidi="ar-SA"/>
        </w:rPr>
        <w:t>corso formazione con esame finale/profitto di durata totale 32 ore senza specificazione delle singole giornate dell’intero corso. Il punteggio si otterrà nel seguente modo: 32/6= 5,33 ai fini del calcolo del punteggio si considera solo il numero intero 5. Il punteggio da attribuire sarà 5 x 0,75 = 3,75 (si considerano le ore)</w:t>
      </w:r>
    </w:p>
    <w:p>
      <w:pPr>
        <w:pStyle w:val="Normal"/>
        <w:numPr>
          <w:ilvl w:val="0"/>
          <w:numId w:val="11"/>
        </w:numPr>
        <w:spacing w:lineRule="exact" w:line="240"/>
        <w:jc w:val="both"/>
        <w:rPr>
          <w:b w:val="false"/>
          <w:b w:val="false"/>
          <w:bCs w:val="false"/>
        </w:rPr>
      </w:pPr>
      <w:r>
        <w:rPr>
          <w:rFonts w:eastAsia="Calibri" w:cs="Times New Roman" w:ascii="Calibri" w:hAnsi="Calibri"/>
          <w:b w:val="false"/>
          <w:bCs w:val="false"/>
          <w:color w:val="000000"/>
          <w:kern w:val="0"/>
          <w:sz w:val="20"/>
          <w:szCs w:val="20"/>
          <w:lang w:val="it-IT" w:eastAsia="en-US" w:bidi="ar-SA"/>
        </w:rPr>
        <w:t>corso formazione con esame finale/profitto di durata totale 32 ore ma con specificazione della suddivisione del singolo corso in più giornate: Ex Giornate 4 . Punteggio da attribuire sarà: 4x0,75= 3 (si considerano le singole giornate)</w:t>
      </w:r>
    </w:p>
    <w:p>
      <w:pPr>
        <w:pStyle w:val="Normal"/>
        <w:numPr>
          <w:ilvl w:val="0"/>
          <w:numId w:val="11"/>
        </w:numPr>
        <w:spacing w:lineRule="exact" w:line="240"/>
        <w:jc w:val="both"/>
        <w:rPr/>
      </w:pPr>
      <w:r>
        <w:rPr>
          <w:rFonts w:eastAsia="Calibri" w:cs="Times New Roman" w:ascii="Calibri" w:hAnsi="Calibri"/>
          <w:b w:val="false"/>
          <w:bCs w:val="false"/>
          <w:color w:val="000000"/>
          <w:kern w:val="0"/>
          <w:sz w:val="20"/>
          <w:szCs w:val="20"/>
          <w:lang w:val="it-IT" w:eastAsia="en-US" w:bidi="ar-SA"/>
        </w:rPr>
        <w:t>7 differenti corsi di formazione con esame finale/profitto (indipendente dalla loro durata in ore): 7x0,75= 5,25 (si considerano le singole giornate)</w:t>
      </w:r>
    </w:p>
    <w:p>
      <w:pPr>
        <w:pStyle w:val="Normal"/>
        <w:numPr>
          <w:ilvl w:val="0"/>
          <w:numId w:val="11"/>
        </w:numPr>
        <w:spacing w:lineRule="exact" w:line="240"/>
        <w:jc w:val="both"/>
        <w:rPr/>
      </w:pPr>
      <w:r>
        <w:rPr>
          <w:rFonts w:eastAsia="Calibri" w:cs="Times New Roman" w:ascii="Calibri" w:hAnsi="Calibri"/>
          <w:b w:val="false"/>
          <w:bCs w:val="false"/>
          <w:color w:val="000000"/>
          <w:kern w:val="0"/>
          <w:sz w:val="20"/>
          <w:szCs w:val="20"/>
          <w:lang w:val="it-IT" w:eastAsia="en-US" w:bidi="ar-SA"/>
        </w:rPr>
        <w:t>per i corsi di durata inferiore alle 6 ore sarà attribuito dalla commissione un punteggio parametrato al n. di ore effettivamente svolte   es. 2 ore di corso formazione  senza esame finale. Se per 6 ore il punteggio è 0,50 per 2 ore di corso il punteggio sarà 0,50 /6 x 2 = 0,16</w:t>
      </w:r>
    </w:p>
    <w:p>
      <w:pPr>
        <w:pStyle w:val="Normal"/>
        <w:numPr>
          <w:ilvl w:val="0"/>
          <w:numId w:val="0"/>
        </w:numPr>
        <w:spacing w:lineRule="exact" w:line="240"/>
        <w:ind w:left="720" w:hanging="0"/>
        <w:jc w:val="both"/>
        <w:rPr>
          <w:rFonts w:ascii="Calibri" w:hAnsi="Calibri" w:eastAsia="Calibri" w:cs="Times New Roman"/>
          <w:b/>
          <w:b/>
          <w:bCs/>
          <w:color w:val="000000"/>
          <w:kern w:val="0"/>
          <w:sz w:val="20"/>
          <w:szCs w:val="20"/>
          <w:lang w:val="it-IT" w:eastAsia="en-US" w:bidi="ar-SA"/>
        </w:rPr>
      </w:pPr>
      <w:r>
        <w:rPr>
          <w:rFonts w:eastAsia="Calibri" w:cs="Times New Roman" w:ascii="Calibri" w:hAnsi="Calibri"/>
          <w:b/>
          <w:bCs/>
          <w:color w:val="000000"/>
          <w:kern w:val="0"/>
          <w:sz w:val="20"/>
          <w:szCs w:val="20"/>
          <w:lang w:val="it-IT" w:eastAsia="en-US" w:bidi="ar-SA"/>
        </w:rPr>
      </w:r>
    </w:p>
    <w:p>
      <w:pPr>
        <w:pStyle w:val="ListParagraph"/>
        <w:numPr>
          <w:ilvl w:val="0"/>
          <w:numId w:val="0"/>
        </w:numPr>
        <w:ind w:left="0" w:right="0" w:hanging="0"/>
        <w:rPr>
          <w:b w:val="false"/>
          <w:b w:val="false"/>
          <w:bCs w:val="false"/>
          <w:u w:val="single"/>
        </w:rPr>
      </w:pPr>
      <w:r>
        <w:rPr>
          <w:rFonts w:eastAsia="Calibri" w:ascii="Calibri" w:hAnsi="Calibri"/>
          <w:b w:val="false"/>
          <w:bCs w:val="false"/>
          <w:color w:val="000000"/>
          <w:sz w:val="20"/>
          <w:szCs w:val="20"/>
          <w:u w:val="single"/>
          <w:lang w:eastAsia="en-US"/>
        </w:rPr>
        <w:t>D) QUALITÀ DELLA PRESTAZIONE INDIVIDUALE</w:t>
      </w:r>
    </w:p>
    <w:p>
      <w:pPr>
        <w:pStyle w:val="ListParagraph"/>
        <w:ind w:left="0" w:right="0" w:hanging="0"/>
        <w:jc w:val="both"/>
        <w:rPr>
          <w:rFonts w:ascii="Calibri" w:hAnsi="Calibri"/>
          <w:color w:val="000000"/>
          <w:sz w:val="20"/>
          <w:szCs w:val="20"/>
        </w:rPr>
      </w:pPr>
      <w:r>
        <w:rPr>
          <w:rFonts w:eastAsia="Times New Roman" w:cs="Times New Roman" w:ascii="Calibri" w:hAnsi="Calibri"/>
          <w:color w:val="000000"/>
          <w:kern w:val="0"/>
          <w:sz w:val="20"/>
          <w:szCs w:val="20"/>
          <w:lang w:val="it-IT" w:eastAsia="it-IT" w:bidi="ar-SA"/>
        </w:rPr>
        <w:t xml:space="preserve">Il contratto collettivo </w:t>
      </w:r>
      <w:r>
        <w:rPr>
          <w:rFonts w:eastAsia="Times New Roman" w:cs="Times New Roman" w:ascii="Calibri" w:hAnsi="Calibri"/>
          <w:b w:val="false"/>
          <w:bCs w:val="false"/>
          <w:color w:val="000000"/>
          <w:kern w:val="0"/>
          <w:sz w:val="20"/>
          <w:szCs w:val="20"/>
          <w:lang w:val="it-IT" w:eastAsia="it-IT" w:bidi="ar-SA"/>
        </w:rPr>
        <w:t>decentrato integrativo dell’Ente 2019/2021, così come sottoscritto in data 30 dicembre 2019 prevede, all’art. 19 “Criteri per la definizione delle procedure per le progressioni economiche ”, comma 7 che ai fini della progressione economica orizzontale viene misurata per ciascun dipendente la</w:t>
      </w:r>
      <w:r>
        <w:rPr>
          <w:rFonts w:eastAsia="Times New Roman" w:cs="Times New Roman" w:ascii="Calibri" w:hAnsi="Calibri"/>
          <w:b w:val="false"/>
          <w:bCs w:val="false"/>
          <w:color w:val="000000"/>
          <w:kern w:val="0"/>
          <w:sz w:val="20"/>
          <w:szCs w:val="20"/>
          <w:u w:val="none"/>
          <w:lang w:val="it-IT" w:eastAsia="it-IT" w:bidi="ar-SA"/>
        </w:rPr>
        <w:t xml:space="preserve"> media dei risultati conseguiti nell’ultimo triennio (rispetto alla decorrenza delle P.E.O) nell’ambito della Performance Individuale, adottato in applicazione dell’art. 16 c. 3, CCNL Funzioni Locali 2016/2018 il quale recita “</w:t>
      </w:r>
      <w:r>
        <w:rPr>
          <w:rFonts w:eastAsia="Times New Roman" w:cs="Times New Roman" w:ascii="Calibri" w:hAnsi="Calibri"/>
          <w:b w:val="false"/>
          <w:bCs w:val="false"/>
          <w:i/>
          <w:iCs/>
          <w:color w:val="000000"/>
          <w:kern w:val="0"/>
          <w:sz w:val="20"/>
          <w:szCs w:val="20"/>
          <w:u w:val="none"/>
          <w:lang w:val="it-IT" w:eastAsia="it-IT" w:bidi="ar-SA"/>
        </w:rPr>
        <w:t xml:space="preserve">Le progressioni economiche sono attribuite in relazione alle risultanze della </w:t>
      </w:r>
      <w:r>
        <w:rPr>
          <w:rFonts w:eastAsia="Times New Roman" w:cs="Times New Roman" w:ascii="Calibri" w:hAnsi="Calibri"/>
          <w:b w:val="false"/>
          <w:bCs w:val="false"/>
          <w:i/>
          <w:iCs/>
          <w:color w:val="000000"/>
          <w:kern w:val="0"/>
          <w:sz w:val="20"/>
          <w:szCs w:val="20"/>
          <w:lang w:val="it-IT" w:eastAsia="it-IT" w:bidi="ar-SA"/>
        </w:rPr>
        <w:t>valutazione della performance individuale del triennio che precede l’anno in cui è adottata la decisione di attivazione dell’istituto</w:t>
      </w:r>
      <w:r>
        <w:rPr>
          <w:rFonts w:eastAsia="Times New Roman" w:cs="Times New Roman" w:ascii="Calibri" w:hAnsi="Calibri"/>
          <w:b w:val="false"/>
          <w:bCs w:val="false"/>
          <w:color w:val="000000"/>
          <w:kern w:val="0"/>
          <w:sz w:val="20"/>
          <w:szCs w:val="20"/>
          <w:lang w:val="it-IT" w:eastAsia="it-IT" w:bidi="ar-SA"/>
        </w:rPr>
        <w:t>”.</w:t>
      </w:r>
    </w:p>
    <w:p>
      <w:pPr>
        <w:pStyle w:val="Normal"/>
        <w:shd w:val="clear" w:color="auto" w:fill="FFFFFF"/>
        <w:jc w:val="both"/>
        <w:rPr>
          <w:rFonts w:ascii="Calibri" w:hAnsi="Calibri"/>
          <w:color w:val="000000"/>
          <w:sz w:val="20"/>
          <w:szCs w:val="20"/>
        </w:rPr>
      </w:pPr>
      <w:r>
        <w:rPr>
          <w:rFonts w:eastAsia="Calibri" w:ascii="Calibri" w:hAnsi="Calibri"/>
          <w:color w:val="000000"/>
          <w:sz w:val="20"/>
          <w:szCs w:val="20"/>
          <w:u w:val="none"/>
          <w:lang w:eastAsia="en-US"/>
        </w:rPr>
        <w:t>Pertanto ai fini della PEO per l’anno 2022 si prenderanno in considerazione le valutazioni della performan</w:t>
      </w:r>
      <w:r>
        <w:rPr>
          <w:rFonts w:eastAsia="Calibri" w:ascii="Calibri" w:hAnsi="Calibri"/>
          <w:color w:val="000000"/>
          <w:sz w:val="20"/>
          <w:szCs w:val="20"/>
          <w:lang w:eastAsia="en-US"/>
        </w:rPr>
        <w:t>ce individuale ottenute negli anni 2019/2020/2021.</w:t>
      </w:r>
    </w:p>
    <w:p>
      <w:pPr>
        <w:pStyle w:val="Normal"/>
        <w:shd w:val="clear" w:color="auto" w:fill="FFFFFF"/>
        <w:jc w:val="both"/>
        <w:rPr>
          <w:rFonts w:ascii="Calibri" w:hAnsi="Calibri"/>
          <w:color w:val="000000"/>
          <w:sz w:val="20"/>
          <w:szCs w:val="20"/>
        </w:rPr>
      </w:pPr>
      <w:r>
        <w:rPr>
          <w:rFonts w:eastAsia="Calibri" w:ascii="Calibri" w:hAnsi="Calibri"/>
          <w:color w:val="000000"/>
          <w:sz w:val="20"/>
          <w:szCs w:val="20"/>
          <w:lang w:eastAsia="en-US"/>
        </w:rPr>
        <w:t xml:space="preserve">In applicazione di quanto stabilito nel Regolamento sulle PEO, art. 7 lett. D), il risultato ai fini delle PEO si otterrà attribuendo </w:t>
      </w:r>
      <w:r>
        <w:rPr>
          <w:rFonts w:eastAsia="Calibri" w:cs="Times New Roman" w:ascii="Calibri" w:hAnsi="Calibri"/>
          <w:color w:val="000000"/>
          <w:kern w:val="0"/>
          <w:sz w:val="20"/>
          <w:szCs w:val="20"/>
          <w:lang w:val="it-IT" w:eastAsia="en-US" w:bidi="ar-SA"/>
        </w:rPr>
        <w:t>un</w:t>
      </w:r>
      <w:r>
        <w:rPr>
          <w:rFonts w:eastAsia="Calibri" w:ascii="Calibri" w:hAnsi="Calibri"/>
          <w:color w:val="000000"/>
          <w:sz w:val="20"/>
          <w:szCs w:val="20"/>
          <w:lang w:eastAsia="en-US"/>
        </w:rPr>
        <w:t xml:space="preserve"> punteggio ad ogni valutazione della performance annuale. Dalla somma dei punteggi così ottenuti si calcolerà la media aritmetica. </w:t>
      </w:r>
    </w:p>
    <w:p>
      <w:pPr>
        <w:pStyle w:val="Normal"/>
        <w:shd w:val="clear" w:color="auto" w:fill="FFFFFF"/>
        <w:spacing w:lineRule="exact" w:line="240"/>
        <w:ind w:left="340" w:hanging="0"/>
        <w:jc w:val="both"/>
        <w:rPr>
          <w:rFonts w:ascii="Calibri" w:hAnsi="Calibri" w:eastAsia="Calibri"/>
          <w:b/>
          <w:b/>
          <w:color w:val="000000"/>
          <w:sz w:val="20"/>
          <w:szCs w:val="20"/>
          <w:lang w:eastAsia="en-US"/>
        </w:rPr>
      </w:pPr>
      <w:r>
        <w:rPr>
          <w:rFonts w:eastAsia="Calibri" w:ascii="Calibri" w:hAnsi="Calibri"/>
          <w:b/>
          <w:color w:val="000000"/>
          <w:sz w:val="20"/>
          <w:szCs w:val="20"/>
          <w:lang w:eastAsia="en-US"/>
        </w:rPr>
      </w:r>
    </w:p>
    <w:tbl>
      <w:tblPr>
        <w:tblW w:w="9075" w:type="dxa"/>
        <w:jc w:val="left"/>
        <w:tblInd w:w="58" w:type="dxa"/>
        <w:tblCellMar>
          <w:top w:w="0" w:type="dxa"/>
          <w:left w:w="50" w:type="dxa"/>
          <w:bottom w:w="0" w:type="dxa"/>
          <w:right w:w="70" w:type="dxa"/>
        </w:tblCellMar>
        <w:tblLook w:val="04a0"/>
      </w:tblPr>
      <w:tblGrid>
        <w:gridCol w:w="4648"/>
        <w:gridCol w:w="1070"/>
        <w:gridCol w:w="1137"/>
        <w:gridCol w:w="1073"/>
        <w:gridCol w:w="1147"/>
      </w:tblGrid>
      <w:tr>
        <w:trPr>
          <w:trHeight w:val="585" w:hRule="atLeast"/>
        </w:trPr>
        <w:tc>
          <w:tcPr>
            <w:tcW w:w="4648" w:type="dxa"/>
            <w:tcBorders>
              <w:top w:val="single" w:sz="8" w:space="0" w:color="00000A"/>
              <w:left w:val="single" w:sz="8"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Qualità prestazioni individuali</w:t>
            </w:r>
          </w:p>
        </w:tc>
        <w:tc>
          <w:tcPr>
            <w:tcW w:w="1070" w:type="dxa"/>
            <w:tcBorders>
              <w:top w:val="single" w:sz="8" w:space="0" w:color="00000A"/>
              <w:left w:val="single" w:sz="8" w:space="0" w:color="00000A"/>
              <w:right w:val="single" w:sz="8"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CAT. A</w:t>
            </w:r>
          </w:p>
        </w:tc>
        <w:tc>
          <w:tcPr>
            <w:tcW w:w="1137" w:type="dxa"/>
            <w:tcBorders>
              <w:top w:val="single" w:sz="8" w:space="0" w:color="00000A"/>
              <w:left w:val="single" w:sz="8" w:space="0" w:color="00000A"/>
              <w:right w:val="single" w:sz="8"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CAT. B</w:t>
            </w:r>
          </w:p>
        </w:tc>
        <w:tc>
          <w:tcPr>
            <w:tcW w:w="1073" w:type="dxa"/>
            <w:tcBorders>
              <w:top w:val="single" w:sz="8" w:space="0" w:color="00000A"/>
              <w:left w:val="single" w:sz="8" w:space="0" w:color="00000A"/>
              <w:right w:val="single" w:sz="8"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CAT.C</w:t>
            </w:r>
          </w:p>
        </w:tc>
        <w:tc>
          <w:tcPr>
            <w:tcW w:w="1147" w:type="dxa"/>
            <w:tcBorders>
              <w:top w:val="single" w:sz="8" w:space="0" w:color="00000A"/>
              <w:left w:val="single" w:sz="8" w:space="0" w:color="00000A"/>
              <w:right w:val="single" w:sz="8"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CAT. D</w:t>
            </w:r>
          </w:p>
        </w:tc>
      </w:tr>
      <w:tr>
        <w:trPr>
          <w:trHeight w:val="300" w:hRule="atLeast"/>
        </w:trPr>
        <w:tc>
          <w:tcPr>
            <w:tcW w:w="4648" w:type="dxa"/>
            <w:tcBorders>
              <w:top w:val="single" w:sz="4" w:space="0" w:color="00000A"/>
              <w:left w:val="single" w:sz="8" w:space="0" w:color="00000A"/>
              <w:bottom w:val="single" w:sz="4" w:space="0" w:color="00000A"/>
              <w:right w:val="single" w:sz="4"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Punteggio massimo attribuibile</w:t>
            </w:r>
          </w:p>
        </w:tc>
        <w:tc>
          <w:tcPr>
            <w:tcW w:w="1070" w:type="dxa"/>
            <w:tcBorders>
              <w:top w:val="single" w:sz="4" w:space="0" w:color="00000A"/>
              <w:left w:val="single" w:sz="4" w:space="0" w:color="00000A"/>
              <w:bottom w:val="single" w:sz="4" w:space="0" w:color="00000A"/>
              <w:right w:val="single" w:sz="4"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35</w:t>
            </w:r>
          </w:p>
        </w:tc>
        <w:tc>
          <w:tcPr>
            <w:tcW w:w="1137" w:type="dxa"/>
            <w:tcBorders>
              <w:top w:val="single" w:sz="4" w:space="0" w:color="00000A"/>
              <w:left w:val="single" w:sz="4" w:space="0" w:color="00000A"/>
              <w:bottom w:val="single" w:sz="4" w:space="0" w:color="00000A"/>
              <w:right w:val="single" w:sz="4"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40</w:t>
            </w:r>
          </w:p>
        </w:tc>
        <w:tc>
          <w:tcPr>
            <w:tcW w:w="1073" w:type="dxa"/>
            <w:tcBorders>
              <w:top w:val="single" w:sz="4" w:space="0" w:color="00000A"/>
              <w:left w:val="single" w:sz="4" w:space="0" w:color="00000A"/>
              <w:bottom w:val="single" w:sz="4" w:space="0" w:color="00000A"/>
              <w:right w:val="single" w:sz="4"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45</w:t>
            </w:r>
          </w:p>
        </w:tc>
        <w:tc>
          <w:tcPr>
            <w:tcW w:w="1147" w:type="dxa"/>
            <w:tcBorders>
              <w:top w:val="single" w:sz="4" w:space="0" w:color="00000A"/>
              <w:left w:val="single" w:sz="8" w:space="0" w:color="00000A"/>
              <w:bottom w:val="single" w:sz="4" w:space="0" w:color="00000A"/>
              <w:right w:val="single" w:sz="8"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50</w:t>
            </w:r>
          </w:p>
        </w:tc>
      </w:tr>
      <w:tr>
        <w:trPr>
          <w:trHeight w:val="300" w:hRule="atLeast"/>
        </w:trPr>
        <w:tc>
          <w:tcPr>
            <w:tcW w:w="4648" w:type="dxa"/>
            <w:tcBorders>
              <w:top w:val="single" w:sz="4" w:space="0" w:color="00000A"/>
              <w:left w:val="single" w:sz="8" w:space="0" w:color="00000A"/>
              <w:bottom w:val="single" w:sz="4" w:space="0" w:color="00000A"/>
              <w:right w:val="single" w:sz="4"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da 100 a 88</w:t>
            </w:r>
          </w:p>
        </w:tc>
        <w:tc>
          <w:tcPr>
            <w:tcW w:w="1070" w:type="dxa"/>
            <w:tcBorders>
              <w:top w:val="single" w:sz="4" w:space="0" w:color="00000A"/>
              <w:left w:val="single" w:sz="4" w:space="0" w:color="00000A"/>
              <w:bottom w:val="single" w:sz="4" w:space="0" w:color="00000A"/>
              <w:right w:val="single" w:sz="4"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35</w:t>
            </w:r>
          </w:p>
        </w:tc>
        <w:tc>
          <w:tcPr>
            <w:tcW w:w="1137" w:type="dxa"/>
            <w:tcBorders>
              <w:top w:val="single" w:sz="4" w:space="0" w:color="00000A"/>
              <w:left w:val="single" w:sz="4" w:space="0" w:color="00000A"/>
              <w:bottom w:val="single" w:sz="4" w:space="0" w:color="00000A"/>
              <w:right w:val="single" w:sz="4"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40</w:t>
            </w:r>
          </w:p>
        </w:tc>
        <w:tc>
          <w:tcPr>
            <w:tcW w:w="1073" w:type="dxa"/>
            <w:tcBorders>
              <w:top w:val="single" w:sz="4" w:space="0" w:color="00000A"/>
              <w:left w:val="single" w:sz="4" w:space="0" w:color="00000A"/>
              <w:bottom w:val="single" w:sz="4" w:space="0" w:color="00000A"/>
              <w:right w:val="single" w:sz="4"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45</w:t>
            </w:r>
          </w:p>
        </w:tc>
        <w:tc>
          <w:tcPr>
            <w:tcW w:w="1147" w:type="dxa"/>
            <w:tcBorders>
              <w:top w:val="single" w:sz="4" w:space="0" w:color="00000A"/>
              <w:left w:val="single" w:sz="8" w:space="0" w:color="00000A"/>
              <w:bottom w:val="single" w:sz="4" w:space="0" w:color="00000A"/>
              <w:right w:val="single" w:sz="8"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50</w:t>
            </w:r>
          </w:p>
        </w:tc>
      </w:tr>
      <w:tr>
        <w:trPr>
          <w:trHeight w:val="300" w:hRule="atLeast"/>
        </w:trPr>
        <w:tc>
          <w:tcPr>
            <w:tcW w:w="4648" w:type="dxa"/>
            <w:tcBorders>
              <w:top w:val="single" w:sz="4" w:space="0" w:color="00000A"/>
              <w:left w:val="single" w:sz="8" w:space="0" w:color="00000A"/>
              <w:bottom w:val="single" w:sz="4" w:space="0" w:color="00000A"/>
              <w:right w:val="single" w:sz="4"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da 87 a 70</w:t>
            </w:r>
          </w:p>
        </w:tc>
        <w:tc>
          <w:tcPr>
            <w:tcW w:w="1070" w:type="dxa"/>
            <w:tcBorders>
              <w:top w:val="single" w:sz="4" w:space="0" w:color="00000A"/>
              <w:left w:val="single" w:sz="4" w:space="0" w:color="00000A"/>
              <w:bottom w:val="single" w:sz="4" w:space="0" w:color="00000A"/>
              <w:right w:val="single" w:sz="4"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29</w:t>
            </w:r>
          </w:p>
        </w:tc>
        <w:tc>
          <w:tcPr>
            <w:tcW w:w="1137" w:type="dxa"/>
            <w:tcBorders>
              <w:top w:val="single" w:sz="4" w:space="0" w:color="00000A"/>
              <w:left w:val="single" w:sz="4" w:space="0" w:color="00000A"/>
              <w:bottom w:val="single" w:sz="4" w:space="0" w:color="00000A"/>
              <w:right w:val="single" w:sz="4"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34</w:t>
            </w:r>
          </w:p>
        </w:tc>
        <w:tc>
          <w:tcPr>
            <w:tcW w:w="1073" w:type="dxa"/>
            <w:tcBorders>
              <w:top w:val="single" w:sz="4" w:space="0" w:color="00000A"/>
              <w:left w:val="single" w:sz="4" w:space="0" w:color="00000A"/>
              <w:bottom w:val="single" w:sz="4" w:space="0" w:color="00000A"/>
              <w:right w:val="single" w:sz="4"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39</w:t>
            </w:r>
          </w:p>
        </w:tc>
        <w:tc>
          <w:tcPr>
            <w:tcW w:w="1147" w:type="dxa"/>
            <w:tcBorders>
              <w:top w:val="single" w:sz="4" w:space="0" w:color="00000A"/>
              <w:left w:val="single" w:sz="8" w:space="0" w:color="00000A"/>
              <w:bottom w:val="single" w:sz="4" w:space="0" w:color="00000A"/>
              <w:right w:val="single" w:sz="8"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44</w:t>
            </w:r>
          </w:p>
        </w:tc>
      </w:tr>
      <w:tr>
        <w:trPr>
          <w:trHeight w:val="300" w:hRule="atLeast"/>
        </w:trPr>
        <w:tc>
          <w:tcPr>
            <w:tcW w:w="4648" w:type="dxa"/>
            <w:tcBorders>
              <w:top w:val="single" w:sz="4" w:space="0" w:color="00000A"/>
              <w:left w:val="single" w:sz="8" w:space="0" w:color="00000A"/>
              <w:bottom w:val="single" w:sz="4" w:space="0" w:color="00000A"/>
              <w:right w:val="single" w:sz="4"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da 69 a 40</w:t>
            </w:r>
          </w:p>
        </w:tc>
        <w:tc>
          <w:tcPr>
            <w:tcW w:w="1070" w:type="dxa"/>
            <w:tcBorders>
              <w:top w:val="single" w:sz="4" w:space="0" w:color="00000A"/>
              <w:left w:val="single" w:sz="4" w:space="0" w:color="00000A"/>
              <w:bottom w:val="single" w:sz="4" w:space="0" w:color="00000A"/>
              <w:right w:val="single" w:sz="4"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20</w:t>
            </w:r>
          </w:p>
        </w:tc>
        <w:tc>
          <w:tcPr>
            <w:tcW w:w="1137" w:type="dxa"/>
            <w:tcBorders>
              <w:top w:val="single" w:sz="4" w:space="0" w:color="00000A"/>
              <w:left w:val="single" w:sz="4" w:space="0" w:color="00000A"/>
              <w:bottom w:val="single" w:sz="4" w:space="0" w:color="00000A"/>
              <w:right w:val="single" w:sz="4"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25</w:t>
            </w:r>
          </w:p>
        </w:tc>
        <w:tc>
          <w:tcPr>
            <w:tcW w:w="1073" w:type="dxa"/>
            <w:tcBorders>
              <w:top w:val="single" w:sz="4" w:space="0" w:color="00000A"/>
              <w:left w:val="single" w:sz="4" w:space="0" w:color="00000A"/>
              <w:bottom w:val="single" w:sz="4" w:space="0" w:color="00000A"/>
              <w:right w:val="single" w:sz="4"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30</w:t>
            </w:r>
          </w:p>
        </w:tc>
        <w:tc>
          <w:tcPr>
            <w:tcW w:w="1147" w:type="dxa"/>
            <w:tcBorders>
              <w:top w:val="single" w:sz="4" w:space="0" w:color="00000A"/>
              <w:left w:val="single" w:sz="8" w:space="0" w:color="00000A"/>
              <w:bottom w:val="single" w:sz="4" w:space="0" w:color="00000A"/>
              <w:right w:val="single" w:sz="8"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35</w:t>
            </w:r>
          </w:p>
        </w:tc>
      </w:tr>
      <w:tr>
        <w:trPr>
          <w:trHeight w:val="300" w:hRule="atLeast"/>
        </w:trPr>
        <w:tc>
          <w:tcPr>
            <w:tcW w:w="4648" w:type="dxa"/>
            <w:tcBorders>
              <w:top w:val="single" w:sz="4" w:space="0" w:color="00000A"/>
              <w:left w:val="single" w:sz="8" w:space="0" w:color="00000A"/>
              <w:bottom w:val="single" w:sz="4" w:space="0" w:color="00000A"/>
              <w:right w:val="single" w:sz="4"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fino a 39</w:t>
            </w:r>
          </w:p>
        </w:tc>
        <w:tc>
          <w:tcPr>
            <w:tcW w:w="1070" w:type="dxa"/>
            <w:tcBorders>
              <w:top w:val="single" w:sz="4" w:space="0" w:color="00000A"/>
              <w:left w:val="single" w:sz="4" w:space="0" w:color="00000A"/>
              <w:bottom w:val="single" w:sz="4" w:space="0" w:color="00000A"/>
              <w:right w:val="single" w:sz="4"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10</w:t>
            </w:r>
          </w:p>
        </w:tc>
        <w:tc>
          <w:tcPr>
            <w:tcW w:w="1137" w:type="dxa"/>
            <w:tcBorders>
              <w:top w:val="single" w:sz="4" w:space="0" w:color="00000A"/>
              <w:left w:val="single" w:sz="4" w:space="0" w:color="00000A"/>
              <w:bottom w:val="single" w:sz="4" w:space="0" w:color="00000A"/>
              <w:right w:val="single" w:sz="4"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15</w:t>
            </w:r>
          </w:p>
        </w:tc>
        <w:tc>
          <w:tcPr>
            <w:tcW w:w="1073" w:type="dxa"/>
            <w:tcBorders>
              <w:top w:val="single" w:sz="4" w:space="0" w:color="00000A"/>
              <w:left w:val="single" w:sz="4" w:space="0" w:color="00000A"/>
              <w:bottom w:val="single" w:sz="4" w:space="0" w:color="00000A"/>
              <w:right w:val="single" w:sz="4"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20</w:t>
            </w:r>
          </w:p>
        </w:tc>
        <w:tc>
          <w:tcPr>
            <w:tcW w:w="1147" w:type="dxa"/>
            <w:tcBorders>
              <w:top w:val="single" w:sz="4" w:space="0" w:color="00000A"/>
              <w:left w:val="single" w:sz="8" w:space="0" w:color="00000A"/>
              <w:bottom w:val="single" w:sz="4" w:space="0" w:color="00000A"/>
              <w:right w:val="single" w:sz="8"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25</w:t>
            </w:r>
          </w:p>
        </w:tc>
      </w:tr>
    </w:tbl>
    <w:p>
      <w:pPr>
        <w:pStyle w:val="Normal"/>
        <w:ind w:left="0" w:right="0" w:hanging="0"/>
        <w:jc w:val="both"/>
        <w:rPr>
          <w:sz w:val="16"/>
          <w:szCs w:val="16"/>
        </w:rPr>
      </w:pPr>
      <w:r>
        <w:rPr>
          <w:sz w:val="16"/>
          <w:szCs w:val="16"/>
        </w:rPr>
      </w:r>
    </w:p>
    <w:p>
      <w:pPr>
        <w:pStyle w:val="Normal"/>
        <w:ind w:left="0" w:right="0" w:hanging="0"/>
        <w:jc w:val="both"/>
        <w:rPr>
          <w:b w:val="false"/>
          <w:b w:val="false"/>
          <w:bCs w:val="false"/>
        </w:rPr>
      </w:pPr>
      <w:r>
        <w:rPr>
          <w:rFonts w:eastAsia="Times New Roman" w:cs="Times New Roman" w:ascii="Calibri" w:hAnsi="Calibri"/>
          <w:b w:val="false"/>
          <w:bCs w:val="false"/>
          <w:color w:val="000000"/>
          <w:kern w:val="0"/>
          <w:sz w:val="16"/>
          <w:szCs w:val="16"/>
          <w:u w:val="none"/>
          <w:lang w:val="it-IT" w:eastAsia="it-IT" w:bidi="ar-SA"/>
        </w:rPr>
        <w:t xml:space="preserve">Esempio: </w:t>
      </w:r>
    </w:p>
    <w:p>
      <w:pPr>
        <w:pStyle w:val="Normal"/>
        <w:ind w:left="0" w:right="0" w:hanging="0"/>
        <w:jc w:val="both"/>
        <w:rPr>
          <w:b w:val="false"/>
          <w:b w:val="false"/>
          <w:bCs w:val="false"/>
        </w:rPr>
      </w:pPr>
      <w:r>
        <w:rPr>
          <w:rFonts w:eastAsia="Times New Roman" w:cs="Times New Roman" w:ascii="Calibri" w:hAnsi="Calibri"/>
          <w:b w:val="false"/>
          <w:bCs w:val="false"/>
          <w:color w:val="000000"/>
          <w:kern w:val="0"/>
          <w:sz w:val="16"/>
          <w:szCs w:val="16"/>
          <w:u w:val="none"/>
          <w:lang w:val="it-IT" w:eastAsia="it-IT" w:bidi="ar-SA"/>
        </w:rPr>
        <w:t xml:space="preserve">Cat. A  </w:t>
      </w:r>
    </w:p>
    <w:p>
      <w:pPr>
        <w:pStyle w:val="Normal"/>
        <w:ind w:left="0" w:right="0" w:hanging="0"/>
        <w:jc w:val="both"/>
        <w:rPr>
          <w:b w:val="false"/>
          <w:b w:val="false"/>
          <w:bCs w:val="false"/>
        </w:rPr>
      </w:pPr>
      <w:r>
        <w:rPr>
          <w:rFonts w:eastAsia="Times New Roman" w:cs="Times New Roman" w:ascii="Calibri" w:hAnsi="Calibri"/>
          <w:b w:val="false"/>
          <w:bCs w:val="false"/>
          <w:color w:val="000000"/>
          <w:kern w:val="0"/>
          <w:sz w:val="16"/>
          <w:szCs w:val="16"/>
          <w:u w:val="none"/>
          <w:lang w:val="it-IT" w:eastAsia="it-IT" w:bidi="ar-SA"/>
        </w:rPr>
        <w:t xml:space="preserve">punteggio valutazione performance anno 2019 pari a 90 </w:t>
        <w:tab/>
        <w:t>punteggio attribuibile 35</w:t>
      </w:r>
    </w:p>
    <w:p>
      <w:pPr>
        <w:pStyle w:val="Normal"/>
        <w:ind w:left="0" w:right="0" w:hanging="0"/>
        <w:jc w:val="both"/>
        <w:rPr>
          <w:b w:val="false"/>
          <w:b w:val="false"/>
          <w:bCs w:val="false"/>
        </w:rPr>
      </w:pPr>
      <w:r>
        <w:rPr>
          <w:rFonts w:eastAsia="Times New Roman" w:cs="Times New Roman" w:ascii="Calibri" w:hAnsi="Calibri"/>
          <w:b w:val="false"/>
          <w:bCs w:val="false"/>
          <w:color w:val="000000"/>
          <w:kern w:val="0"/>
          <w:sz w:val="16"/>
          <w:szCs w:val="16"/>
          <w:u w:val="none"/>
          <w:lang w:val="it-IT" w:eastAsia="it-IT" w:bidi="ar-SA"/>
        </w:rPr>
        <w:t xml:space="preserve">punteggio valutazione performance anno 2020 pari a 70 </w:t>
        <w:tab/>
        <w:t>punteggio attribuibile 29</w:t>
      </w:r>
    </w:p>
    <w:p>
      <w:pPr>
        <w:pStyle w:val="Normal"/>
        <w:ind w:left="0" w:right="0" w:hanging="0"/>
        <w:jc w:val="both"/>
        <w:rPr>
          <w:b w:val="false"/>
          <w:b w:val="false"/>
          <w:bCs w:val="false"/>
        </w:rPr>
      </w:pPr>
      <w:r>
        <w:rPr>
          <w:rFonts w:eastAsia="Times New Roman" w:cs="Times New Roman" w:ascii="Calibri" w:hAnsi="Calibri"/>
          <w:b w:val="false"/>
          <w:bCs w:val="false"/>
          <w:color w:val="000000"/>
          <w:kern w:val="0"/>
          <w:sz w:val="16"/>
          <w:szCs w:val="16"/>
          <w:u w:val="none"/>
          <w:lang w:val="it-IT" w:eastAsia="it-IT" w:bidi="ar-SA"/>
        </w:rPr>
        <w:t>punteggio valutazione performance anno 2021 pari a 88</w:t>
        <w:tab/>
        <w:t>punteggio attribuibile 35</w:t>
      </w:r>
    </w:p>
    <w:p>
      <w:pPr>
        <w:pStyle w:val="Normal"/>
        <w:ind w:left="0" w:right="0" w:hanging="0"/>
        <w:jc w:val="both"/>
        <w:rPr>
          <w:b w:val="false"/>
          <w:b w:val="false"/>
          <w:bCs w:val="false"/>
        </w:rPr>
      </w:pPr>
      <w:r>
        <w:rPr>
          <w:rFonts w:eastAsia="Times New Roman" w:cs="Times New Roman" w:ascii="Calibri" w:hAnsi="Calibri"/>
          <w:b w:val="false"/>
          <w:bCs w:val="false"/>
          <w:color w:val="000000"/>
          <w:kern w:val="0"/>
          <w:sz w:val="16"/>
          <w:szCs w:val="16"/>
          <w:u w:val="none"/>
          <w:lang w:val="it-IT" w:eastAsia="it-IT" w:bidi="ar-SA"/>
        </w:rPr>
        <w:tab/>
        <w:tab/>
        <w:tab/>
        <w:tab/>
        <w:tab/>
        <w:tab/>
        <w:t>Punteggio totale attribuibile 99 /3= 33</w:t>
      </w:r>
    </w:p>
    <w:p>
      <w:pPr>
        <w:pStyle w:val="Normal"/>
        <w:ind w:left="0" w:right="0" w:hanging="0"/>
        <w:jc w:val="both"/>
        <w:rPr>
          <w:b w:val="false"/>
          <w:b w:val="false"/>
          <w:bCs w:val="false"/>
          <w:u w:val="none"/>
        </w:rPr>
      </w:pPr>
      <w:r>
        <w:rPr>
          <w:rFonts w:eastAsia="Times New Roman" w:cs="Times New Roman" w:ascii="Calibri" w:hAnsi="Calibri"/>
          <w:b w:val="false"/>
          <w:bCs w:val="false"/>
          <w:color w:val="000000"/>
          <w:kern w:val="0"/>
          <w:sz w:val="20"/>
          <w:szCs w:val="20"/>
          <w:u w:val="none"/>
          <w:lang w:val="it-IT" w:eastAsia="it-IT" w:bidi="ar-SA"/>
        </w:rPr>
        <w:t>Ai dipendenti in aspettativa sindacale o in distacco sindacale nel periodo interessato che partecipano alla procedura selettiva si applica l’Art. 5 punto 5 del Regolamento PEO. Al risultato della prestazione individuale (scheda di valutazione performance) sarà attribuito un valore dato dalla media delle valutazioni ottenute dai dipendenti dell’Ente di appartenenza afferenti alla stessa categoria.</w:t>
      </w:r>
    </w:p>
    <w:p>
      <w:pPr>
        <w:pStyle w:val="Default"/>
        <w:spacing w:before="0" w:after="0"/>
        <w:ind w:left="0" w:hanging="0"/>
        <w:jc w:val="both"/>
        <w:rPr/>
      </w:pPr>
      <w:r>
        <w:rPr>
          <w:rFonts w:eastAsia="Times New Roman" w:cs="Times New Roman" w:ascii="Calibri" w:hAnsi="Calibri"/>
          <w:color w:val="000000"/>
          <w:kern w:val="0"/>
          <w:sz w:val="20"/>
          <w:szCs w:val="20"/>
          <w:lang w:val="it-IT" w:eastAsia="it-IT" w:bidi="ar-SA"/>
        </w:rPr>
        <w:t>Per i dipendenti assunti tramite procedura di mobilità si considera anche il servizio prestato negli Enti di provenienza.</w:t>
      </w:r>
    </w:p>
    <w:p>
      <w:pPr>
        <w:pStyle w:val="Default"/>
        <w:spacing w:before="0" w:after="0"/>
        <w:ind w:left="0" w:hanging="0"/>
        <w:jc w:val="both"/>
        <w:rPr>
          <w:rFonts w:ascii="Calibri" w:hAnsi="Calibri"/>
          <w:color w:val="000000"/>
          <w:sz w:val="20"/>
          <w:szCs w:val="20"/>
        </w:rPr>
      </w:pPr>
      <w:r>
        <w:rPr>
          <w:rFonts w:eastAsia="Times New Roman" w:cs="Times New Roman" w:ascii="Calibri" w:hAnsi="Calibri"/>
          <w:color w:val="000000"/>
          <w:kern w:val="0"/>
          <w:sz w:val="20"/>
          <w:szCs w:val="20"/>
          <w:lang w:val="it-IT" w:eastAsia="it-IT" w:bidi="ar-SA"/>
        </w:rPr>
        <w:t xml:space="preserve">Le valutazioni ottenute presso l’Ente di provenienza saranno riparametrate per contenuto e valore a quelle in uso nel Comune di Sant’Antioco. Per il resto troverà applicazione l’apposito Regolamento per le Progressioni Economiche Orizzontali del personale dipendente, approvato con Deliberazione della Giunta Comunale n. 187 del 16.12.2016 e s.m.i. </w:t>
      </w:r>
    </w:p>
    <w:p>
      <w:pPr>
        <w:pStyle w:val="Default"/>
        <w:spacing w:before="0" w:after="0"/>
        <w:ind w:left="0" w:hanging="0"/>
        <w:jc w:val="both"/>
        <w:rPr>
          <w:rFonts w:ascii="Calibri" w:hAnsi="Calibri"/>
          <w:color w:val="000000"/>
          <w:sz w:val="20"/>
          <w:szCs w:val="20"/>
        </w:rPr>
      </w:pPr>
      <w:r>
        <w:rPr>
          <w:rFonts w:ascii="Calibri" w:hAnsi="Calibri"/>
          <w:color w:val="000000"/>
          <w:sz w:val="20"/>
          <w:szCs w:val="20"/>
        </w:rPr>
      </w:r>
    </w:p>
    <w:p>
      <w:pPr>
        <w:pStyle w:val="ListParagraph"/>
        <w:numPr>
          <w:ilvl w:val="0"/>
          <w:numId w:val="0"/>
        </w:numPr>
        <w:ind w:left="0" w:right="0" w:hanging="0"/>
        <w:rPr>
          <w:b w:val="false"/>
          <w:b w:val="false"/>
          <w:bCs w:val="false"/>
          <w:u w:val="single"/>
        </w:rPr>
      </w:pPr>
      <w:r>
        <w:rPr>
          <w:rFonts w:eastAsia="Calibri" w:ascii="Calibri" w:hAnsi="Calibri"/>
          <w:b w:val="false"/>
          <w:bCs w:val="false"/>
          <w:color w:val="000000"/>
          <w:sz w:val="20"/>
          <w:szCs w:val="20"/>
          <w:u w:val="single"/>
          <w:lang w:eastAsia="en-US"/>
        </w:rPr>
        <w:t>E) ESPERIENZA LAVORATIVA ACQUISITA</w:t>
      </w:r>
    </w:p>
    <w:p>
      <w:pPr>
        <w:pStyle w:val="Normal"/>
        <w:jc w:val="both"/>
        <w:rPr/>
      </w:pPr>
      <w:r>
        <w:rPr>
          <w:rFonts w:eastAsia="Calibri" w:ascii="Calibri" w:hAnsi="Calibri"/>
          <w:color w:val="000000"/>
          <w:sz w:val="20"/>
          <w:szCs w:val="20"/>
          <w:lang w:eastAsia="en-US"/>
        </w:rPr>
        <w:t>All’</w:t>
      </w:r>
      <w:bookmarkStart w:id="1" w:name="_GoBack"/>
      <w:bookmarkEnd w:id="1"/>
      <w:r>
        <w:rPr>
          <w:rFonts w:eastAsia="Calibri" w:ascii="Calibri" w:hAnsi="Calibri"/>
          <w:color w:val="000000"/>
          <w:sz w:val="20"/>
          <w:szCs w:val="20"/>
          <w:lang w:eastAsia="en-US"/>
        </w:rPr>
        <w:t>esperienza lavorativa acquisita si assegna un punteggio per ogni anno di servizio, calcolato per mensilità intere, riconosciuto nella posizione economica d’appartenenza (immediatamente inferiore a quella per cui si concorre), maturata con rapporto di lavoro a tempo indeterminato, come meglio specificato nella tabella di seguito:</w:t>
      </w:r>
    </w:p>
    <w:p>
      <w:pPr>
        <w:pStyle w:val="Normal"/>
        <w:jc w:val="both"/>
        <w:rPr>
          <w:rFonts w:ascii="Calibri" w:hAnsi="Calibri"/>
          <w:color w:val="000000"/>
          <w:sz w:val="20"/>
          <w:szCs w:val="20"/>
        </w:rPr>
      </w:pPr>
      <w:r>
        <w:rPr>
          <w:rFonts w:ascii="Calibri" w:hAnsi="Calibri"/>
          <w:color w:val="000000"/>
          <w:sz w:val="20"/>
          <w:szCs w:val="20"/>
        </w:rPr>
      </w:r>
    </w:p>
    <w:tbl>
      <w:tblPr>
        <w:tblW w:w="9075" w:type="dxa"/>
        <w:jc w:val="left"/>
        <w:tblInd w:w="58" w:type="dxa"/>
        <w:tblCellMar>
          <w:top w:w="0" w:type="dxa"/>
          <w:left w:w="50" w:type="dxa"/>
          <w:bottom w:w="0" w:type="dxa"/>
          <w:right w:w="70" w:type="dxa"/>
        </w:tblCellMar>
        <w:tblLook w:val="04a0"/>
      </w:tblPr>
      <w:tblGrid>
        <w:gridCol w:w="4926"/>
        <w:gridCol w:w="789"/>
        <w:gridCol w:w="1138"/>
        <w:gridCol w:w="1074"/>
        <w:gridCol w:w="1148"/>
      </w:tblGrid>
      <w:tr>
        <w:trPr>
          <w:trHeight w:val="585" w:hRule="atLeast"/>
        </w:trPr>
        <w:tc>
          <w:tcPr>
            <w:tcW w:w="4926" w:type="dxa"/>
            <w:tcBorders>
              <w:top w:val="single" w:sz="8" w:space="0" w:color="00000A"/>
              <w:left w:val="single" w:sz="8"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Esperienza lavorativa acquisita</w:t>
            </w:r>
          </w:p>
        </w:tc>
        <w:tc>
          <w:tcPr>
            <w:tcW w:w="789" w:type="dxa"/>
            <w:tcBorders>
              <w:top w:val="single" w:sz="8" w:space="0" w:color="00000A"/>
              <w:left w:val="single" w:sz="8" w:space="0" w:color="00000A"/>
              <w:right w:val="single" w:sz="8"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CAT. A</w:t>
            </w:r>
          </w:p>
        </w:tc>
        <w:tc>
          <w:tcPr>
            <w:tcW w:w="1138" w:type="dxa"/>
            <w:tcBorders>
              <w:top w:val="single" w:sz="8" w:space="0" w:color="00000A"/>
              <w:left w:val="single" w:sz="8" w:space="0" w:color="00000A"/>
              <w:right w:val="single" w:sz="8"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CAT. B</w:t>
            </w:r>
          </w:p>
        </w:tc>
        <w:tc>
          <w:tcPr>
            <w:tcW w:w="1074" w:type="dxa"/>
            <w:tcBorders>
              <w:top w:val="single" w:sz="8" w:space="0" w:color="00000A"/>
              <w:left w:val="single" w:sz="8" w:space="0" w:color="00000A"/>
              <w:right w:val="single" w:sz="8"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CAT.C</w:t>
            </w:r>
          </w:p>
        </w:tc>
        <w:tc>
          <w:tcPr>
            <w:tcW w:w="1148" w:type="dxa"/>
            <w:tcBorders>
              <w:top w:val="single" w:sz="8" w:space="0" w:color="00000A"/>
              <w:left w:val="single" w:sz="8" w:space="0" w:color="00000A"/>
              <w:right w:val="single" w:sz="8"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CAT. D</w:t>
            </w:r>
          </w:p>
        </w:tc>
      </w:tr>
      <w:tr>
        <w:trPr>
          <w:trHeight w:val="300" w:hRule="atLeast"/>
        </w:trPr>
        <w:tc>
          <w:tcPr>
            <w:tcW w:w="4926" w:type="dxa"/>
            <w:tcBorders>
              <w:top w:val="single" w:sz="4" w:space="0" w:color="00000A"/>
              <w:left w:val="single" w:sz="8" w:space="0" w:color="00000A"/>
              <w:bottom w:val="single" w:sz="4" w:space="0" w:color="00000A"/>
              <w:right w:val="single" w:sz="4"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Punteggio massimo attribuibile</w:t>
            </w:r>
          </w:p>
        </w:tc>
        <w:tc>
          <w:tcPr>
            <w:tcW w:w="789" w:type="dxa"/>
            <w:tcBorders>
              <w:top w:val="single" w:sz="4" w:space="0" w:color="00000A"/>
              <w:left w:val="single" w:sz="4" w:space="0" w:color="00000A"/>
              <w:bottom w:val="single" w:sz="4" w:space="0" w:color="00000A"/>
              <w:right w:val="single" w:sz="4"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20</w:t>
            </w:r>
          </w:p>
        </w:tc>
        <w:tc>
          <w:tcPr>
            <w:tcW w:w="1138" w:type="dxa"/>
            <w:tcBorders>
              <w:top w:val="single" w:sz="4" w:space="0" w:color="00000A"/>
              <w:left w:val="single" w:sz="4" w:space="0" w:color="00000A"/>
              <w:bottom w:val="single" w:sz="4" w:space="0" w:color="00000A"/>
              <w:right w:val="single" w:sz="4"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15</w:t>
            </w:r>
          </w:p>
        </w:tc>
        <w:tc>
          <w:tcPr>
            <w:tcW w:w="1074" w:type="dxa"/>
            <w:tcBorders>
              <w:top w:val="single" w:sz="4" w:space="0" w:color="00000A"/>
              <w:left w:val="single" w:sz="4" w:space="0" w:color="00000A"/>
              <w:bottom w:val="single" w:sz="4" w:space="0" w:color="00000A"/>
              <w:right w:val="single" w:sz="4"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10</w:t>
            </w:r>
          </w:p>
        </w:tc>
        <w:tc>
          <w:tcPr>
            <w:tcW w:w="1148" w:type="dxa"/>
            <w:tcBorders>
              <w:top w:val="single" w:sz="4" w:space="0" w:color="00000A"/>
              <w:left w:val="single" w:sz="8" w:space="0" w:color="00000A"/>
              <w:bottom w:val="single" w:sz="4" w:space="0" w:color="00000A"/>
              <w:right w:val="single" w:sz="8"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5</w:t>
            </w:r>
          </w:p>
        </w:tc>
      </w:tr>
      <w:tr>
        <w:trPr>
          <w:trHeight w:val="531" w:hRule="atLeast"/>
        </w:trPr>
        <w:tc>
          <w:tcPr>
            <w:tcW w:w="4926" w:type="dxa"/>
            <w:tcBorders>
              <w:top w:val="single" w:sz="4" w:space="0" w:color="00000A"/>
              <w:left w:val="single" w:sz="8" w:space="0" w:color="00000A"/>
              <w:bottom w:val="single" w:sz="4" w:space="0" w:color="00000A"/>
              <w:right w:val="single" w:sz="4" w:space="0" w:color="00000A"/>
            </w:tcBorders>
            <w:shd w:fill="auto" w:val="clear"/>
            <w:vAlign w:val="bottom"/>
          </w:tcPr>
          <w:p>
            <w:pPr>
              <w:pStyle w:val="Normal"/>
              <w:rPr>
                <w:rFonts w:ascii="Calibri" w:hAnsi="Calibri"/>
                <w:color w:val="000000"/>
                <w:sz w:val="20"/>
                <w:szCs w:val="20"/>
              </w:rPr>
            </w:pPr>
            <w:r>
              <w:rPr>
                <w:rFonts w:eastAsia="Calibri" w:ascii="Calibri" w:hAnsi="Calibri"/>
                <w:color w:val="000000"/>
                <w:sz w:val="20"/>
                <w:szCs w:val="20"/>
                <w:lang w:eastAsia="en-US"/>
              </w:rPr>
              <w:t>Punteggio:</w:t>
            </w:r>
          </w:p>
          <w:p>
            <w:pPr>
              <w:pStyle w:val="Normal"/>
              <w:widowControl/>
              <w:numPr>
                <w:ilvl w:val="0"/>
                <w:numId w:val="7"/>
              </w:numPr>
              <w:tabs>
                <w:tab w:val="clear" w:pos="720"/>
                <w:tab w:val="left" w:pos="506" w:leader="none"/>
              </w:tabs>
              <w:suppressAutoHyphens w:val="true"/>
              <w:overflowPunct w:val="true"/>
              <w:bidi w:val="0"/>
              <w:spacing w:lineRule="auto" w:line="240" w:before="0" w:after="0"/>
              <w:ind w:left="680" w:right="0" w:hanging="624"/>
              <w:jc w:val="left"/>
              <w:rPr>
                <w:rFonts w:ascii="Calibri" w:hAnsi="Calibri"/>
                <w:color w:val="000000"/>
                <w:sz w:val="20"/>
                <w:szCs w:val="20"/>
              </w:rPr>
            </w:pPr>
            <w:r>
              <w:rPr>
                <w:rFonts w:eastAsia="Calibri" w:ascii="Calibri" w:hAnsi="Calibri"/>
                <w:color w:val="000000"/>
                <w:sz w:val="20"/>
                <w:szCs w:val="20"/>
                <w:lang w:eastAsia="en-US"/>
              </w:rPr>
              <w:t>Per ogni anno di servizio nella posizione economica.</w:t>
            </w:r>
          </w:p>
          <w:p>
            <w:pPr>
              <w:pStyle w:val="Normal"/>
              <w:ind w:left="720" w:hanging="0"/>
              <w:rPr>
                <w:rFonts w:ascii="Calibri" w:hAnsi="Calibri"/>
                <w:color w:val="000000"/>
                <w:sz w:val="20"/>
                <w:szCs w:val="20"/>
              </w:rPr>
            </w:pPr>
            <w:r>
              <w:rPr>
                <w:rFonts w:eastAsia="Calibri" w:ascii="Calibri" w:hAnsi="Calibri"/>
                <w:color w:val="000000"/>
                <w:sz w:val="20"/>
                <w:szCs w:val="20"/>
                <w:lang w:eastAsia="en-US"/>
              </w:rPr>
              <w:t xml:space="preserve">Ovvero </w:t>
            </w:r>
          </w:p>
          <w:p>
            <w:pPr>
              <w:pStyle w:val="Normal"/>
              <w:numPr>
                <w:ilvl w:val="0"/>
                <w:numId w:val="7"/>
              </w:numPr>
              <w:rPr>
                <w:rFonts w:ascii="Calibri" w:hAnsi="Calibri"/>
                <w:color w:val="000000"/>
                <w:sz w:val="20"/>
                <w:szCs w:val="20"/>
              </w:rPr>
            </w:pPr>
            <w:r>
              <w:rPr>
                <w:rFonts w:eastAsia="Calibri" w:ascii="Calibri" w:hAnsi="Calibri"/>
                <w:color w:val="000000"/>
                <w:sz w:val="20"/>
                <w:szCs w:val="20"/>
                <w:lang w:eastAsia="en-US"/>
              </w:rPr>
              <w:t>per ogni intero mese di servizio nella posizione economica</w:t>
            </w:r>
          </w:p>
        </w:tc>
        <w:tc>
          <w:tcPr>
            <w:tcW w:w="789" w:type="dxa"/>
            <w:tcBorders>
              <w:top w:val="single" w:sz="4" w:space="0" w:color="00000A"/>
              <w:left w:val="single" w:sz="4" w:space="0" w:color="00000A"/>
              <w:bottom w:val="single" w:sz="4" w:space="0" w:color="00000A"/>
              <w:right w:val="single" w:sz="4"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1,80</w:t>
            </w:r>
          </w:p>
          <w:p>
            <w:pPr>
              <w:pStyle w:val="Normal"/>
              <w:jc w:val="center"/>
              <w:rPr>
                <w:rFonts w:ascii="Calibri" w:hAnsi="Calibri" w:eastAsia="Calibri"/>
                <w:color w:val="000000"/>
                <w:sz w:val="20"/>
                <w:szCs w:val="20"/>
                <w:lang w:eastAsia="en-US"/>
              </w:rPr>
            </w:pPr>
            <w:r>
              <w:rPr>
                <w:rFonts w:eastAsia="Calibri" w:ascii="Calibri" w:hAnsi="Calibri"/>
                <w:color w:val="000000"/>
                <w:sz w:val="20"/>
                <w:szCs w:val="20"/>
                <w:lang w:eastAsia="en-US"/>
              </w:rPr>
            </w:r>
          </w:p>
          <w:p>
            <w:pPr>
              <w:pStyle w:val="Normal"/>
              <w:jc w:val="center"/>
              <w:rPr>
                <w:rFonts w:ascii="Calibri" w:hAnsi="Calibri" w:eastAsia="Calibri"/>
                <w:color w:val="000000"/>
                <w:sz w:val="20"/>
                <w:szCs w:val="20"/>
                <w:lang w:eastAsia="en-US"/>
              </w:rPr>
            </w:pPr>
            <w:r>
              <w:rPr>
                <w:rFonts w:eastAsia="Calibri" w:ascii="Calibri" w:hAnsi="Calibri"/>
                <w:color w:val="000000"/>
                <w:sz w:val="20"/>
                <w:szCs w:val="20"/>
                <w:lang w:eastAsia="en-US"/>
              </w:rPr>
            </w:r>
          </w:p>
          <w:p>
            <w:pPr>
              <w:pStyle w:val="Normal"/>
              <w:jc w:val="center"/>
              <w:rPr>
                <w:rFonts w:ascii="Calibri" w:hAnsi="Calibri"/>
                <w:color w:val="000000"/>
                <w:sz w:val="20"/>
                <w:szCs w:val="20"/>
              </w:rPr>
            </w:pPr>
            <w:r>
              <w:rPr>
                <w:rFonts w:eastAsia="Calibri" w:ascii="Calibri" w:hAnsi="Calibri"/>
                <w:color w:val="000000"/>
                <w:sz w:val="20"/>
                <w:szCs w:val="20"/>
                <w:lang w:eastAsia="en-US"/>
              </w:rPr>
              <w:t>0,15</w:t>
            </w:r>
          </w:p>
          <w:p>
            <w:pPr>
              <w:pStyle w:val="Normal"/>
              <w:jc w:val="center"/>
              <w:rPr>
                <w:rFonts w:ascii="Calibri" w:hAnsi="Calibri" w:eastAsia="Calibri"/>
                <w:color w:val="000000"/>
                <w:sz w:val="20"/>
                <w:szCs w:val="20"/>
                <w:lang w:eastAsia="en-US"/>
              </w:rPr>
            </w:pPr>
            <w:r>
              <w:rPr>
                <w:rFonts w:eastAsia="Calibri" w:ascii="Calibri" w:hAnsi="Calibri"/>
                <w:color w:val="000000"/>
                <w:sz w:val="20"/>
                <w:szCs w:val="20"/>
                <w:lang w:eastAsia="en-US"/>
              </w:rPr>
            </w:r>
          </w:p>
        </w:tc>
        <w:tc>
          <w:tcPr>
            <w:tcW w:w="1138" w:type="dxa"/>
            <w:tcBorders>
              <w:top w:val="single" w:sz="4" w:space="0" w:color="00000A"/>
              <w:left w:val="single" w:sz="4" w:space="0" w:color="00000A"/>
              <w:bottom w:val="single" w:sz="4" w:space="0" w:color="00000A"/>
              <w:right w:val="single" w:sz="4"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1,30</w:t>
            </w:r>
          </w:p>
          <w:p>
            <w:pPr>
              <w:pStyle w:val="Normal"/>
              <w:jc w:val="center"/>
              <w:rPr>
                <w:rFonts w:ascii="Calibri" w:hAnsi="Calibri" w:eastAsia="Calibri"/>
                <w:color w:val="000000"/>
                <w:sz w:val="20"/>
                <w:szCs w:val="20"/>
                <w:lang w:eastAsia="en-US"/>
              </w:rPr>
            </w:pPr>
            <w:r>
              <w:rPr>
                <w:rFonts w:eastAsia="Calibri" w:ascii="Calibri" w:hAnsi="Calibri"/>
                <w:color w:val="000000"/>
                <w:sz w:val="20"/>
                <w:szCs w:val="20"/>
                <w:lang w:eastAsia="en-US"/>
              </w:rPr>
            </w:r>
          </w:p>
          <w:p>
            <w:pPr>
              <w:pStyle w:val="Normal"/>
              <w:jc w:val="center"/>
              <w:rPr>
                <w:rFonts w:ascii="Calibri" w:hAnsi="Calibri" w:eastAsia="Calibri"/>
                <w:color w:val="000000"/>
                <w:sz w:val="20"/>
                <w:szCs w:val="20"/>
                <w:lang w:eastAsia="en-US"/>
              </w:rPr>
            </w:pPr>
            <w:r>
              <w:rPr>
                <w:rFonts w:eastAsia="Calibri" w:ascii="Calibri" w:hAnsi="Calibri"/>
                <w:color w:val="000000"/>
                <w:sz w:val="20"/>
                <w:szCs w:val="20"/>
                <w:lang w:eastAsia="en-US"/>
              </w:rPr>
            </w:r>
          </w:p>
          <w:p>
            <w:pPr>
              <w:pStyle w:val="Normal"/>
              <w:jc w:val="center"/>
              <w:rPr>
                <w:rFonts w:ascii="Calibri" w:hAnsi="Calibri"/>
                <w:color w:val="000000"/>
                <w:sz w:val="20"/>
                <w:szCs w:val="20"/>
              </w:rPr>
            </w:pPr>
            <w:r>
              <w:rPr>
                <w:rFonts w:eastAsia="Calibri" w:ascii="Calibri" w:hAnsi="Calibri"/>
                <w:color w:val="000000"/>
                <w:sz w:val="20"/>
                <w:szCs w:val="20"/>
                <w:lang w:eastAsia="en-US"/>
              </w:rPr>
              <w:t>0,11</w:t>
            </w:r>
          </w:p>
          <w:p>
            <w:pPr>
              <w:pStyle w:val="Normal"/>
              <w:jc w:val="center"/>
              <w:rPr>
                <w:rFonts w:ascii="Calibri" w:hAnsi="Calibri" w:eastAsia="Calibri"/>
                <w:color w:val="000000"/>
                <w:sz w:val="20"/>
                <w:szCs w:val="20"/>
                <w:lang w:eastAsia="en-US"/>
              </w:rPr>
            </w:pPr>
            <w:r>
              <w:rPr>
                <w:rFonts w:eastAsia="Calibri" w:ascii="Calibri" w:hAnsi="Calibri"/>
                <w:color w:val="000000"/>
                <w:sz w:val="20"/>
                <w:szCs w:val="20"/>
                <w:lang w:eastAsia="en-US"/>
              </w:rPr>
            </w:r>
          </w:p>
        </w:tc>
        <w:tc>
          <w:tcPr>
            <w:tcW w:w="1074" w:type="dxa"/>
            <w:tcBorders>
              <w:top w:val="single" w:sz="4" w:space="0" w:color="00000A"/>
              <w:left w:val="single" w:sz="4" w:space="0" w:color="00000A"/>
              <w:bottom w:val="single" w:sz="4" w:space="0" w:color="00000A"/>
              <w:right w:val="single" w:sz="4"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0,90</w:t>
            </w:r>
          </w:p>
          <w:p>
            <w:pPr>
              <w:pStyle w:val="Normal"/>
              <w:jc w:val="center"/>
              <w:rPr>
                <w:rFonts w:ascii="Calibri" w:hAnsi="Calibri" w:eastAsia="Calibri"/>
                <w:color w:val="000000"/>
                <w:sz w:val="20"/>
                <w:szCs w:val="20"/>
                <w:lang w:eastAsia="en-US"/>
              </w:rPr>
            </w:pPr>
            <w:r>
              <w:rPr>
                <w:rFonts w:eastAsia="Calibri" w:ascii="Calibri" w:hAnsi="Calibri"/>
                <w:color w:val="000000"/>
                <w:sz w:val="20"/>
                <w:szCs w:val="20"/>
                <w:lang w:eastAsia="en-US"/>
              </w:rPr>
            </w:r>
          </w:p>
          <w:p>
            <w:pPr>
              <w:pStyle w:val="Normal"/>
              <w:jc w:val="center"/>
              <w:rPr>
                <w:rFonts w:ascii="Calibri" w:hAnsi="Calibri" w:eastAsia="Calibri"/>
                <w:color w:val="000000"/>
                <w:sz w:val="20"/>
                <w:szCs w:val="20"/>
                <w:lang w:eastAsia="en-US"/>
              </w:rPr>
            </w:pPr>
            <w:r>
              <w:rPr>
                <w:rFonts w:eastAsia="Calibri" w:ascii="Calibri" w:hAnsi="Calibri"/>
                <w:color w:val="000000"/>
                <w:sz w:val="20"/>
                <w:szCs w:val="20"/>
                <w:lang w:eastAsia="en-US"/>
              </w:rPr>
            </w:r>
          </w:p>
          <w:p>
            <w:pPr>
              <w:pStyle w:val="Normal"/>
              <w:jc w:val="center"/>
              <w:rPr>
                <w:rFonts w:ascii="Calibri" w:hAnsi="Calibri"/>
                <w:color w:val="000000"/>
                <w:sz w:val="20"/>
                <w:szCs w:val="20"/>
              </w:rPr>
            </w:pPr>
            <w:r>
              <w:rPr>
                <w:rFonts w:eastAsia="Calibri" w:ascii="Calibri" w:hAnsi="Calibri"/>
                <w:color w:val="000000"/>
                <w:sz w:val="20"/>
                <w:szCs w:val="20"/>
                <w:lang w:eastAsia="en-US"/>
              </w:rPr>
              <w:t>0,08</w:t>
            </w:r>
          </w:p>
          <w:p>
            <w:pPr>
              <w:pStyle w:val="Normal"/>
              <w:jc w:val="center"/>
              <w:rPr>
                <w:rFonts w:ascii="Calibri" w:hAnsi="Calibri" w:eastAsia="Calibri"/>
                <w:color w:val="000000"/>
                <w:sz w:val="20"/>
                <w:szCs w:val="20"/>
                <w:lang w:eastAsia="en-US"/>
              </w:rPr>
            </w:pPr>
            <w:r>
              <w:rPr>
                <w:rFonts w:eastAsia="Calibri" w:ascii="Calibri" w:hAnsi="Calibri"/>
                <w:color w:val="000000"/>
                <w:sz w:val="20"/>
                <w:szCs w:val="20"/>
                <w:lang w:eastAsia="en-US"/>
              </w:rPr>
            </w:r>
          </w:p>
        </w:tc>
        <w:tc>
          <w:tcPr>
            <w:tcW w:w="1148" w:type="dxa"/>
            <w:tcBorders>
              <w:top w:val="single" w:sz="4" w:space="0" w:color="00000A"/>
              <w:left w:val="single" w:sz="8" w:space="0" w:color="00000A"/>
              <w:bottom w:val="single" w:sz="4" w:space="0" w:color="00000A"/>
              <w:right w:val="single" w:sz="8" w:space="0" w:color="00000A"/>
            </w:tcBorders>
            <w:shd w:fill="auto" w:val="clear"/>
            <w:vAlign w:val="bottom"/>
          </w:tcPr>
          <w:p>
            <w:pPr>
              <w:pStyle w:val="Normal"/>
              <w:jc w:val="center"/>
              <w:rPr>
                <w:rFonts w:ascii="Calibri" w:hAnsi="Calibri"/>
                <w:color w:val="000000"/>
                <w:sz w:val="20"/>
                <w:szCs w:val="20"/>
              </w:rPr>
            </w:pPr>
            <w:r>
              <w:rPr>
                <w:rFonts w:eastAsia="Calibri" w:ascii="Calibri" w:hAnsi="Calibri"/>
                <w:color w:val="000000"/>
                <w:sz w:val="20"/>
                <w:szCs w:val="20"/>
                <w:lang w:eastAsia="en-US"/>
              </w:rPr>
              <w:t>0,50</w:t>
            </w:r>
          </w:p>
          <w:p>
            <w:pPr>
              <w:pStyle w:val="Normal"/>
              <w:jc w:val="center"/>
              <w:rPr>
                <w:rFonts w:ascii="Calibri" w:hAnsi="Calibri" w:eastAsia="Calibri"/>
                <w:color w:val="000000"/>
                <w:sz w:val="20"/>
                <w:szCs w:val="20"/>
                <w:lang w:eastAsia="en-US"/>
              </w:rPr>
            </w:pPr>
            <w:r>
              <w:rPr>
                <w:rFonts w:eastAsia="Calibri" w:ascii="Calibri" w:hAnsi="Calibri"/>
                <w:color w:val="000000"/>
                <w:sz w:val="20"/>
                <w:szCs w:val="20"/>
                <w:lang w:eastAsia="en-US"/>
              </w:rPr>
            </w:r>
          </w:p>
          <w:p>
            <w:pPr>
              <w:pStyle w:val="Normal"/>
              <w:jc w:val="center"/>
              <w:rPr>
                <w:rFonts w:ascii="Calibri" w:hAnsi="Calibri" w:eastAsia="Calibri"/>
                <w:color w:val="000000"/>
                <w:sz w:val="20"/>
                <w:szCs w:val="20"/>
                <w:lang w:eastAsia="en-US"/>
              </w:rPr>
            </w:pPr>
            <w:r>
              <w:rPr>
                <w:rFonts w:eastAsia="Calibri" w:ascii="Calibri" w:hAnsi="Calibri"/>
                <w:color w:val="000000"/>
                <w:sz w:val="20"/>
                <w:szCs w:val="20"/>
                <w:lang w:eastAsia="en-US"/>
              </w:rPr>
            </w:r>
          </w:p>
          <w:p>
            <w:pPr>
              <w:pStyle w:val="Normal"/>
              <w:jc w:val="center"/>
              <w:rPr>
                <w:rFonts w:ascii="Calibri" w:hAnsi="Calibri"/>
                <w:color w:val="000000"/>
                <w:sz w:val="20"/>
                <w:szCs w:val="20"/>
              </w:rPr>
            </w:pPr>
            <w:r>
              <w:rPr>
                <w:rFonts w:eastAsia="Calibri" w:ascii="Calibri" w:hAnsi="Calibri"/>
                <w:color w:val="000000"/>
                <w:sz w:val="20"/>
                <w:szCs w:val="20"/>
                <w:lang w:eastAsia="en-US"/>
              </w:rPr>
              <w:t>0,04</w:t>
            </w:r>
          </w:p>
          <w:p>
            <w:pPr>
              <w:pStyle w:val="Normal"/>
              <w:jc w:val="center"/>
              <w:rPr>
                <w:rFonts w:ascii="Calibri" w:hAnsi="Calibri" w:eastAsia="Calibri"/>
                <w:color w:val="000000"/>
                <w:sz w:val="20"/>
                <w:szCs w:val="20"/>
                <w:lang w:eastAsia="en-US"/>
              </w:rPr>
            </w:pPr>
            <w:r>
              <w:rPr>
                <w:rFonts w:eastAsia="Calibri" w:ascii="Calibri" w:hAnsi="Calibri"/>
                <w:color w:val="000000"/>
                <w:sz w:val="20"/>
                <w:szCs w:val="20"/>
                <w:lang w:eastAsia="en-US"/>
              </w:rPr>
            </w:r>
          </w:p>
        </w:tc>
      </w:tr>
    </w:tbl>
    <w:p>
      <w:pPr>
        <w:pStyle w:val="Normal"/>
        <w:jc w:val="both"/>
        <w:rPr>
          <w:rFonts w:ascii="Calibri" w:hAnsi="Calibri"/>
          <w:color w:val="000000"/>
          <w:sz w:val="20"/>
          <w:szCs w:val="20"/>
        </w:rPr>
      </w:pPr>
      <w:r>
        <w:rPr>
          <w:rFonts w:ascii="Calibri" w:hAnsi="Calibri"/>
          <w:color w:val="000000"/>
          <w:sz w:val="20"/>
          <w:szCs w:val="20"/>
        </w:rPr>
      </w:r>
    </w:p>
    <w:p>
      <w:pPr>
        <w:pStyle w:val="Normal"/>
        <w:jc w:val="both"/>
        <w:rPr>
          <w:rFonts w:ascii="Calibri" w:hAnsi="Calibri"/>
          <w:color w:val="000000"/>
          <w:sz w:val="20"/>
          <w:szCs w:val="20"/>
        </w:rPr>
      </w:pPr>
      <w:r>
        <w:rPr>
          <w:rFonts w:eastAsia="Calibri" w:ascii="Calibri" w:hAnsi="Calibri"/>
          <w:color w:val="000000"/>
          <w:sz w:val="20"/>
          <w:szCs w:val="20"/>
          <w:lang w:eastAsia="en-US"/>
        </w:rPr>
        <w:t xml:space="preserve">Sarà valutata l’esperienza lavorativa acquisita dal dipendente nella posizione economica di appartenenza maturata nel periodo intercorrente tra la data dell’ultimo inquadramento economico ed il 31 dicembre 2021. </w:t>
      </w:r>
    </w:p>
    <w:p>
      <w:pPr>
        <w:pStyle w:val="Normal"/>
        <w:jc w:val="both"/>
        <w:rPr>
          <w:rFonts w:ascii="Calibri" w:hAnsi="Calibri"/>
          <w:color w:val="000000"/>
          <w:sz w:val="20"/>
          <w:szCs w:val="20"/>
        </w:rPr>
      </w:pPr>
      <w:r>
        <w:rPr>
          <w:rFonts w:ascii="Calibri" w:hAnsi="Calibri"/>
          <w:color w:val="000000"/>
          <w:sz w:val="20"/>
          <w:szCs w:val="20"/>
        </w:rPr>
      </w:r>
    </w:p>
    <w:p>
      <w:pPr>
        <w:pStyle w:val="Normal"/>
        <w:jc w:val="both"/>
        <w:rPr>
          <w:rFonts w:ascii="Calibri" w:hAnsi="Calibri"/>
          <w:sz w:val="20"/>
          <w:szCs w:val="20"/>
        </w:rPr>
      </w:pPr>
      <w:r>
        <w:rPr>
          <w:rFonts w:ascii="Calibri" w:hAnsi="Calibri"/>
          <w:b/>
          <w:sz w:val="20"/>
          <w:szCs w:val="20"/>
        </w:rPr>
        <w:t>5. MODALITÀ’ E TERMINI PER LA PRESENTAZIONE DELLA DOMANDA</w:t>
      </w:r>
    </w:p>
    <w:p>
      <w:pPr>
        <w:pStyle w:val="Normal"/>
        <w:jc w:val="both"/>
        <w:rPr/>
      </w:pPr>
      <w:r>
        <w:rPr>
          <w:rFonts w:ascii="Calibri" w:hAnsi="Calibri"/>
          <w:sz w:val="20"/>
          <w:szCs w:val="20"/>
        </w:rPr>
        <w:t>Per partecipare alla selezione i dipendenti interessati debbono presentare la domanda di partecipazione, debitamente compilata e sottoscritta, all’Ufficio Protocollo del Comune di Sant’Antioco, utilizzando il modello di domanda allegato al bando e allegando copia fotostatica fronte e retro, di un valido documento di riconoscimento ai sensi del D.P.R. 445/2000 in corso di validità e tutti i documenti ritenuti utili ai fini della valutazione.</w:t>
      </w:r>
    </w:p>
    <w:p>
      <w:pPr>
        <w:pStyle w:val="Normal"/>
        <w:jc w:val="both"/>
        <w:rPr>
          <w:rFonts w:ascii="Calibri" w:hAnsi="Calibri"/>
          <w:sz w:val="20"/>
          <w:szCs w:val="20"/>
        </w:rPr>
      </w:pPr>
      <w:r>
        <w:rPr>
          <w:rFonts w:ascii="Calibri" w:hAnsi="Calibri"/>
          <w:sz w:val="20"/>
          <w:szCs w:val="20"/>
        </w:rPr>
        <w:t xml:space="preserve">Non sarà presa in considerazione la domanda di partecipazione priva di </w:t>
      </w:r>
      <w:r>
        <w:rPr>
          <w:rFonts w:ascii="Calibri" w:hAnsi="Calibri"/>
          <w:b/>
          <w:sz w:val="20"/>
          <w:szCs w:val="20"/>
          <w:u w:val="single"/>
        </w:rPr>
        <w:t>sottoscrizione,</w:t>
      </w:r>
      <w:r>
        <w:rPr>
          <w:rFonts w:ascii="Calibri" w:hAnsi="Calibri"/>
          <w:sz w:val="20"/>
          <w:szCs w:val="20"/>
        </w:rPr>
        <w:t xml:space="preserve"> né quella redatta con modelli difformi rispetto a quella approvata con Determina.</w:t>
      </w:r>
    </w:p>
    <w:p>
      <w:pPr>
        <w:pStyle w:val="Default"/>
        <w:jc w:val="both"/>
        <w:rPr>
          <w:rFonts w:ascii="Calibri" w:hAnsi="Calibri"/>
          <w:sz w:val="20"/>
          <w:szCs w:val="20"/>
        </w:rPr>
      </w:pPr>
      <w:r>
        <w:rPr>
          <w:rFonts w:eastAsia="Times New Roman" w:cs="Times New Roman" w:ascii="Calibri" w:hAnsi="Calibri"/>
          <w:color w:val="auto"/>
          <w:sz w:val="20"/>
          <w:szCs w:val="20"/>
          <w:lang w:eastAsia="it-IT"/>
        </w:rPr>
        <w:t>La domanda di partecipazione alla presente selezione potrà essere inviata:</w:t>
      </w:r>
    </w:p>
    <w:p>
      <w:pPr>
        <w:pStyle w:val="Default"/>
        <w:numPr>
          <w:ilvl w:val="0"/>
          <w:numId w:val="2"/>
        </w:numPr>
        <w:jc w:val="both"/>
        <w:rPr/>
      </w:pPr>
      <w:r>
        <w:rPr>
          <w:rFonts w:eastAsia="Times New Roman" w:cs="Times New Roman" w:ascii="Calibri" w:hAnsi="Calibri"/>
          <w:b/>
          <w:color w:val="auto"/>
          <w:sz w:val="20"/>
          <w:szCs w:val="20"/>
          <w:lang w:eastAsia="it-IT"/>
        </w:rPr>
        <w:t>a mezzo Posta Elettronica Certificata (PEC</w:t>
      </w:r>
      <w:r>
        <w:rPr>
          <w:rFonts w:eastAsia="Times New Roman" w:cs="Times New Roman" w:ascii="Calibri" w:hAnsi="Calibri"/>
          <w:color w:val="auto"/>
          <w:sz w:val="20"/>
          <w:szCs w:val="20"/>
          <w:lang w:eastAsia="it-IT"/>
        </w:rPr>
        <w:t xml:space="preserve">) al seguente indirizzo di posta elettronica: </w:t>
      </w:r>
      <w:hyperlink r:id="rId2">
        <w:r>
          <w:rPr>
            <w:rStyle w:val="CollegamentoInternet"/>
            <w:rFonts w:eastAsia="Times New Roman" w:cs="Times New Roman" w:ascii="Calibri" w:hAnsi="Calibri"/>
            <w:color w:val="auto"/>
            <w:sz w:val="20"/>
            <w:szCs w:val="20"/>
            <w:lang w:eastAsia="it-IT"/>
          </w:rPr>
          <w:t>protocollo@comune.santantioco.legalmail.it</w:t>
        </w:r>
      </w:hyperlink>
      <w:r>
        <w:rPr>
          <w:rFonts w:eastAsia="Times New Roman" w:cs="Times New Roman" w:ascii="Calibri" w:hAnsi="Calibri"/>
          <w:color w:val="auto"/>
          <w:sz w:val="20"/>
          <w:szCs w:val="20"/>
          <w:lang w:eastAsia="it-IT"/>
        </w:rPr>
        <w:t xml:space="preserve"> </w:t>
      </w:r>
      <w:r>
        <w:rPr>
          <w:rFonts w:ascii="Calibri" w:hAnsi="Calibri"/>
          <w:sz w:val="20"/>
          <w:szCs w:val="20"/>
        </w:rPr>
        <w:t xml:space="preserve">  </w:t>
      </w:r>
    </w:p>
    <w:p>
      <w:pPr>
        <w:pStyle w:val="Default"/>
        <w:ind w:left="360" w:right="0" w:hanging="0"/>
        <w:jc w:val="both"/>
        <w:rPr>
          <w:rFonts w:ascii="Calibri" w:hAnsi="Calibri"/>
          <w:sz w:val="20"/>
          <w:szCs w:val="20"/>
        </w:rPr>
      </w:pPr>
      <w:r>
        <w:rPr>
          <w:rFonts w:eastAsia="Times New Roman" w:cs="Times New Roman" w:ascii="Calibri" w:hAnsi="Calibri"/>
          <w:color w:val="auto"/>
          <w:sz w:val="20"/>
          <w:szCs w:val="20"/>
          <w:lang w:eastAsia="it-IT"/>
        </w:rPr>
        <w:t>Si precisa che la validità di tale invio, così come stabilito dalla normativa vigente, è subordinato all’utilizzo, da parte del candidato, di casella di posta elettronica, a sua volta, certificata; non sarà, pertanto, ritenuto valido l’invio da casella di posta elettronica semplice/ordinaria anche se indirizzata alla PEC del Comune di Sant’Antioco. L’oggetto della PEC dovrà recare apposita dicitura “Domanda di partecipazione alla selezione interna per l’attribuzione della progressione economica orizzontale – Anno 2022.</w:t>
      </w:r>
    </w:p>
    <w:p>
      <w:pPr>
        <w:pStyle w:val="Default"/>
        <w:numPr>
          <w:ilvl w:val="0"/>
          <w:numId w:val="2"/>
        </w:numPr>
        <w:jc w:val="both"/>
        <w:rPr>
          <w:rFonts w:ascii="Calibri" w:hAnsi="Calibri"/>
          <w:sz w:val="20"/>
          <w:szCs w:val="20"/>
        </w:rPr>
      </w:pPr>
      <w:r>
        <w:rPr>
          <w:rFonts w:eastAsia="Times New Roman" w:cs="Times New Roman" w:ascii="Calibri" w:hAnsi="Calibri"/>
          <w:b/>
          <w:color w:val="auto"/>
          <w:sz w:val="20"/>
          <w:szCs w:val="20"/>
          <w:lang w:eastAsia="it-IT"/>
        </w:rPr>
        <w:t>consegna a mano all’Ufficio Protocollo</w:t>
      </w:r>
      <w:r>
        <w:rPr>
          <w:rFonts w:eastAsia="Times New Roman" w:cs="Times New Roman" w:ascii="Calibri" w:hAnsi="Calibri"/>
          <w:color w:val="auto"/>
          <w:sz w:val="20"/>
          <w:szCs w:val="20"/>
          <w:lang w:eastAsia="it-IT"/>
        </w:rPr>
        <w:t xml:space="preserve"> del Comune di Sant’Antioco, sito in Piazzetta Italo Diana, n. 1 – 09017 Sant’Antioco. </w:t>
      </w:r>
    </w:p>
    <w:p>
      <w:pPr>
        <w:pStyle w:val="Default"/>
        <w:ind w:left="360" w:right="0" w:hanging="0"/>
        <w:jc w:val="both"/>
        <w:rPr>
          <w:rFonts w:ascii="Calibri" w:hAnsi="Calibri" w:eastAsia="Times New Roman" w:cs="Times New Roman"/>
          <w:color w:val="auto"/>
          <w:sz w:val="20"/>
          <w:szCs w:val="20"/>
          <w:lang w:eastAsia="it-IT"/>
        </w:rPr>
      </w:pPr>
      <w:r>
        <w:rPr>
          <w:rFonts w:eastAsia="Times New Roman" w:cs="Times New Roman" w:ascii="Calibri" w:hAnsi="Calibri"/>
          <w:color w:val="auto"/>
          <w:sz w:val="20"/>
          <w:szCs w:val="20"/>
          <w:lang w:eastAsia="it-IT"/>
        </w:rPr>
      </w:r>
    </w:p>
    <w:p>
      <w:pPr>
        <w:pStyle w:val="Normal"/>
        <w:jc w:val="both"/>
        <w:rPr/>
      </w:pPr>
      <w:r>
        <w:rPr>
          <w:rFonts w:ascii="Calibri" w:hAnsi="Calibri"/>
          <w:sz w:val="20"/>
          <w:szCs w:val="20"/>
        </w:rPr>
        <w:t>Le domande di partecipazione dovranno essere inoltrate dalla</w:t>
      </w:r>
      <w:r>
        <w:rPr>
          <w:rFonts w:ascii="Calibri" w:hAnsi="Calibri"/>
          <w:b/>
          <w:sz w:val="20"/>
          <w:szCs w:val="20"/>
        </w:rPr>
        <w:t xml:space="preserve"> </w:t>
      </w:r>
      <w:r>
        <w:rPr>
          <w:rFonts w:ascii="Calibri" w:hAnsi="Calibri"/>
          <w:sz w:val="20"/>
          <w:szCs w:val="20"/>
        </w:rPr>
        <w:t xml:space="preserve">data di pubblicazione del relativo </w:t>
      </w:r>
      <w:r>
        <w:rPr>
          <w:rFonts w:eastAsia="Times New Roman" w:cs="Times New Roman" w:ascii="Calibri" w:hAnsi="Calibri"/>
          <w:color w:val="auto"/>
          <w:kern w:val="0"/>
          <w:sz w:val="20"/>
          <w:szCs w:val="20"/>
          <w:lang w:val="it-IT" w:eastAsia="it-IT" w:bidi="ar-SA"/>
        </w:rPr>
        <w:t>bando</w:t>
      </w:r>
      <w:r>
        <w:rPr>
          <w:rFonts w:ascii="Calibri" w:hAnsi="Calibri"/>
          <w:sz w:val="20"/>
          <w:szCs w:val="20"/>
        </w:rPr>
        <w:t xml:space="preserve"> nella sezione “Concorsi” del sito internet istituzionale del Comune di Sant’Antioco (</w:t>
      </w:r>
      <w:hyperlink r:id="rId3">
        <w:r>
          <w:rPr>
            <w:rStyle w:val="CollegamentoInternet"/>
            <w:rFonts w:ascii="Calibri" w:hAnsi="Calibri"/>
            <w:sz w:val="20"/>
            <w:szCs w:val="20"/>
          </w:rPr>
          <w:t>https://www.comune.santantioco.su.it/</w:t>
        </w:r>
      </w:hyperlink>
      <w:r>
        <w:rPr>
          <w:rFonts w:ascii="Calibri" w:hAnsi="Calibri"/>
          <w:sz w:val="20"/>
          <w:szCs w:val="20"/>
        </w:rPr>
        <w:t xml:space="preserve">). </w:t>
      </w:r>
    </w:p>
    <w:p>
      <w:pPr>
        <w:pStyle w:val="Normal"/>
        <w:jc w:val="both"/>
        <w:rPr/>
      </w:pPr>
      <w:r>
        <w:rPr>
          <w:rFonts w:ascii="Calibri" w:hAnsi="Calibri"/>
          <w:sz w:val="20"/>
          <w:szCs w:val="20"/>
        </w:rPr>
        <w:t>La domanda di partecipazione indirizzata al Comune di Sant’Antioco – Servizio Gestione Ri</w:t>
      </w:r>
      <w:r>
        <w:rPr>
          <w:rFonts w:eastAsia="Times New Roman" w:cs="Times New Roman" w:ascii="Calibri" w:hAnsi="Calibri"/>
          <w:color w:val="auto"/>
          <w:kern w:val="0"/>
          <w:sz w:val="20"/>
          <w:szCs w:val="20"/>
          <w:lang w:val="it-IT" w:eastAsia="it-IT" w:bidi="ar-SA"/>
        </w:rPr>
        <w:t xml:space="preserve">sorse Umane – Piazzetta Italo Diana, n. 1 – 09017 Sant’Antioco, dovrà pervenire entro e non oltre il </w:t>
      </w:r>
      <w:r>
        <w:rPr>
          <w:rFonts w:eastAsia="Times New Roman" w:cs="Times New Roman" w:ascii="Calibri" w:hAnsi="Calibri"/>
          <w:b/>
          <w:bCs/>
          <w:color w:val="auto"/>
          <w:kern w:val="0"/>
          <w:sz w:val="20"/>
          <w:szCs w:val="20"/>
          <w:lang w:val="it-IT" w:eastAsia="it-IT" w:bidi="ar-SA"/>
        </w:rPr>
        <w:t>giorno</w:t>
      </w:r>
      <w:r>
        <w:rPr>
          <w:rFonts w:eastAsia="Times New Roman" w:cs="Times New Roman" w:ascii="Calibri" w:hAnsi="Calibri"/>
          <w:b/>
          <w:bCs/>
          <w:color w:val="auto"/>
          <w:kern w:val="0"/>
          <w:sz w:val="20"/>
          <w:szCs w:val="20"/>
          <w:u w:val="single"/>
          <w:lang w:val="it-IT" w:eastAsia="it-IT" w:bidi="ar-SA"/>
        </w:rPr>
        <w:t xml:space="preserve"> </w:t>
      </w:r>
      <w:r>
        <w:rPr>
          <w:rFonts w:eastAsia="Times New Roman" w:cs="Times New Roman" w:ascii="Calibri" w:hAnsi="Calibri"/>
          <w:b/>
          <w:bCs/>
          <w:color w:val="auto"/>
          <w:kern w:val="0"/>
          <w:sz w:val="20"/>
          <w:szCs w:val="20"/>
          <w:u w:val="single"/>
          <w:lang w:val="it-IT" w:eastAsia="it-IT" w:bidi="ar-SA"/>
        </w:rPr>
        <w:t>05</w:t>
      </w:r>
      <w:r>
        <w:rPr>
          <w:rFonts w:eastAsia="Times New Roman" w:cs="Times New Roman" w:ascii="Calibri" w:hAnsi="Calibri"/>
          <w:b/>
          <w:bCs/>
          <w:color w:val="auto"/>
          <w:kern w:val="0"/>
          <w:sz w:val="20"/>
          <w:szCs w:val="20"/>
          <w:u w:val="single"/>
          <w:lang w:val="it-IT" w:eastAsia="it-IT" w:bidi="ar-SA"/>
        </w:rPr>
        <w:t xml:space="preserve"> GIUGNO 2023</w:t>
      </w:r>
      <w:r>
        <w:rPr>
          <w:rFonts w:eastAsia="Times New Roman" w:cs="Times New Roman" w:ascii="Calibri" w:hAnsi="Calibri"/>
          <w:color w:val="auto"/>
          <w:kern w:val="0"/>
          <w:sz w:val="20"/>
          <w:szCs w:val="20"/>
          <w:u w:val="single"/>
          <w:lang w:val="it-IT" w:eastAsia="it-IT" w:bidi="ar-SA"/>
        </w:rPr>
        <w:t>.</w:t>
      </w:r>
    </w:p>
    <w:p>
      <w:pPr>
        <w:pStyle w:val="Normal"/>
        <w:jc w:val="both"/>
        <w:rPr>
          <w:rFonts w:ascii="Calibri" w:hAnsi="Calibri"/>
          <w:sz w:val="20"/>
          <w:szCs w:val="20"/>
        </w:rPr>
      </w:pPr>
      <w:r>
        <w:rPr>
          <w:rFonts w:ascii="Calibri" w:hAnsi="Calibri"/>
          <w:sz w:val="20"/>
          <w:szCs w:val="20"/>
        </w:rPr>
        <w:t xml:space="preserve">Le domande pervenute fuori termine non saranno prese in considerazione. </w:t>
      </w:r>
    </w:p>
    <w:p>
      <w:pPr>
        <w:pStyle w:val="Normal"/>
        <w:jc w:val="both"/>
        <w:rPr>
          <w:rFonts w:ascii="Calibri" w:hAnsi="Calibri"/>
          <w:sz w:val="20"/>
          <w:szCs w:val="20"/>
        </w:rPr>
      </w:pPr>
      <w:r>
        <w:rPr>
          <w:rFonts w:ascii="Calibri" w:hAnsi="Calibri"/>
          <w:sz w:val="20"/>
          <w:szCs w:val="20"/>
        </w:rPr>
      </w:r>
    </w:p>
    <w:p>
      <w:pPr>
        <w:pStyle w:val="Normal"/>
        <w:jc w:val="both"/>
        <w:rPr>
          <w:rFonts w:ascii="Calibri" w:hAnsi="Calibri"/>
          <w:sz w:val="20"/>
          <w:szCs w:val="20"/>
        </w:rPr>
      </w:pPr>
      <w:r>
        <w:rPr>
          <w:rFonts w:ascii="Calibri" w:hAnsi="Calibri"/>
          <w:b/>
          <w:sz w:val="20"/>
          <w:szCs w:val="20"/>
        </w:rPr>
        <w:t>6. CONTENUTO DELLA DOMANDA</w:t>
      </w:r>
      <w:r>
        <w:rPr>
          <w:rFonts w:ascii="Calibri" w:hAnsi="Calibri"/>
          <w:sz w:val="20"/>
          <w:szCs w:val="20"/>
        </w:rPr>
        <w:t xml:space="preserve"> </w:t>
      </w:r>
    </w:p>
    <w:p>
      <w:pPr>
        <w:pStyle w:val="Normal"/>
        <w:jc w:val="both"/>
        <w:rPr>
          <w:b w:val="false"/>
          <w:b w:val="false"/>
          <w:bCs w:val="false"/>
        </w:rPr>
      </w:pPr>
      <w:r>
        <w:rPr>
          <w:rFonts w:ascii="Calibri" w:hAnsi="Calibri"/>
          <w:b w:val="false"/>
          <w:bCs w:val="false"/>
          <w:sz w:val="20"/>
          <w:szCs w:val="20"/>
        </w:rPr>
        <w:t xml:space="preserve">Nella domanda di partecipazione, </w:t>
      </w:r>
      <w:r>
        <w:rPr>
          <w:rFonts w:ascii="Calibri" w:hAnsi="Calibri"/>
          <w:b w:val="false"/>
          <w:bCs w:val="false"/>
          <w:sz w:val="20"/>
          <w:szCs w:val="20"/>
          <w:u w:val="single"/>
        </w:rPr>
        <w:t>debitamente sottoscritta a pena di esclusione</w:t>
      </w:r>
      <w:r>
        <w:rPr>
          <w:rFonts w:ascii="Calibri" w:hAnsi="Calibri"/>
          <w:b w:val="false"/>
          <w:bCs w:val="false"/>
          <w:sz w:val="20"/>
          <w:szCs w:val="20"/>
        </w:rPr>
        <w:t>, i candidati devono dichiarare, sotto la propria personale responsabilità e con assoluta esattezza:</w:t>
      </w:r>
    </w:p>
    <w:p>
      <w:pPr>
        <w:pStyle w:val="Normal"/>
        <w:jc w:val="both"/>
        <w:rPr>
          <w:rFonts w:ascii="Calibri" w:hAnsi="Calibri"/>
          <w:sz w:val="20"/>
          <w:szCs w:val="20"/>
        </w:rPr>
      </w:pPr>
      <w:r>
        <w:rPr>
          <w:rFonts w:ascii="Calibri" w:hAnsi="Calibri"/>
          <w:sz w:val="20"/>
          <w:szCs w:val="20"/>
        </w:rPr>
        <w:t xml:space="preserve">a) Cognome, nome, data e luogo di nascita, residenza e codice fiscale; </w:t>
      </w:r>
    </w:p>
    <w:p>
      <w:pPr>
        <w:pStyle w:val="Normal"/>
        <w:jc w:val="both"/>
        <w:rPr>
          <w:rFonts w:ascii="Calibri" w:hAnsi="Calibri"/>
          <w:sz w:val="20"/>
          <w:szCs w:val="20"/>
        </w:rPr>
      </w:pPr>
      <w:r>
        <w:rPr>
          <w:rFonts w:ascii="Calibri" w:hAnsi="Calibri"/>
          <w:sz w:val="20"/>
          <w:szCs w:val="20"/>
        </w:rPr>
        <w:t>b) essere, alla data del 01/01/2022, dipendente a tempo indeterminato del Comune di Sant’Antioco  ovvero specificare differente situazione qualora il candidato si trovi collocato in posizione di comando o distacco presso altri Enti pubblici ovvero in distacco o aspettativa sindacale Ex L. 300/70;</w:t>
      </w:r>
    </w:p>
    <w:p>
      <w:pPr>
        <w:pStyle w:val="Normal"/>
        <w:jc w:val="both"/>
        <w:rPr>
          <w:rFonts w:ascii="Calibri" w:hAnsi="Calibri"/>
          <w:sz w:val="20"/>
          <w:szCs w:val="20"/>
        </w:rPr>
      </w:pPr>
      <w:r>
        <w:rPr>
          <w:rFonts w:ascii="Calibri" w:hAnsi="Calibri"/>
          <w:sz w:val="20"/>
          <w:szCs w:val="20"/>
        </w:rPr>
        <w:t>c) essere dipendente in servizio alla data del 01/01/202</w:t>
      </w:r>
      <w:r>
        <w:rPr>
          <w:rFonts w:eastAsia="Times New Roman" w:cs="Times New Roman" w:ascii="Calibri" w:hAnsi="Calibri"/>
          <w:color w:val="000000"/>
          <w:kern w:val="0"/>
          <w:sz w:val="20"/>
          <w:szCs w:val="20"/>
          <w:lang w:val="it-IT" w:eastAsia="it-IT" w:bidi="ar-SA"/>
        </w:rPr>
        <w:t>2</w:t>
      </w:r>
      <w:r>
        <w:rPr>
          <w:rFonts w:ascii="Calibri" w:hAnsi="Calibri"/>
          <w:sz w:val="20"/>
          <w:szCs w:val="20"/>
        </w:rPr>
        <w:t>;</w:t>
      </w:r>
    </w:p>
    <w:p>
      <w:pPr>
        <w:pStyle w:val="Normal"/>
        <w:jc w:val="both"/>
        <w:rPr>
          <w:rFonts w:ascii="Calibri" w:hAnsi="Calibri"/>
          <w:sz w:val="20"/>
          <w:szCs w:val="20"/>
        </w:rPr>
      </w:pPr>
      <w:r>
        <w:rPr>
          <w:rFonts w:ascii="Calibri" w:hAnsi="Calibri"/>
          <w:sz w:val="20"/>
          <w:szCs w:val="20"/>
        </w:rPr>
        <w:t xml:space="preserve">d) </w:t>
      </w:r>
      <w:r>
        <w:rPr>
          <w:rFonts w:eastAsia="Times New Roman" w:cs="Times New Roman" w:ascii="Calibri" w:hAnsi="Calibri"/>
          <w:sz w:val="20"/>
          <w:szCs w:val="20"/>
          <w:lang w:eastAsia="it-IT"/>
        </w:rPr>
        <w:t xml:space="preserve">Settore </w:t>
      </w:r>
      <w:r>
        <w:rPr>
          <w:rFonts w:ascii="Calibri" w:hAnsi="Calibri"/>
          <w:sz w:val="20"/>
          <w:szCs w:val="20"/>
        </w:rPr>
        <w:t xml:space="preserve">di appartenenza, profilo professionale, tipologia del rapporto di lavoro (tempo pieno, parziale, con l’indicazione del numero di ore svolte), categoria giuridica e posizione economica; </w:t>
      </w:r>
    </w:p>
    <w:p>
      <w:pPr>
        <w:pStyle w:val="Normal"/>
        <w:jc w:val="both"/>
        <w:rPr>
          <w:rFonts w:ascii="Calibri" w:hAnsi="Calibri"/>
          <w:sz w:val="20"/>
          <w:szCs w:val="20"/>
        </w:rPr>
      </w:pPr>
      <w:r>
        <w:rPr>
          <w:rFonts w:ascii="Calibri" w:hAnsi="Calibri"/>
          <w:sz w:val="20"/>
          <w:szCs w:val="20"/>
        </w:rPr>
        <w:t xml:space="preserve">e) Anzianità di servizio maturata alla data del 31/12/2021 (riferita alla specifica categoria giuridica ed economica di appartenenza per la quale si concorre alla progressione economica); </w:t>
      </w:r>
    </w:p>
    <w:p>
      <w:pPr>
        <w:pStyle w:val="Normal"/>
        <w:jc w:val="both"/>
        <w:rPr>
          <w:rFonts w:ascii="Calibri" w:hAnsi="Calibri"/>
          <w:sz w:val="20"/>
          <w:szCs w:val="20"/>
        </w:rPr>
      </w:pPr>
      <w:r>
        <w:rPr>
          <w:rFonts w:ascii="Calibri" w:hAnsi="Calibri"/>
          <w:sz w:val="20"/>
          <w:szCs w:val="20"/>
        </w:rPr>
        <w:t>f) Di aver maturato alla data del 31/12/20</w:t>
      </w:r>
      <w:r>
        <w:rPr>
          <w:rFonts w:eastAsia="Times New Roman" w:cs="Times New Roman" w:ascii="Calibri" w:hAnsi="Calibri"/>
          <w:color w:val="auto"/>
          <w:kern w:val="0"/>
          <w:sz w:val="20"/>
          <w:szCs w:val="20"/>
          <w:lang w:val="it-IT" w:eastAsia="it-IT" w:bidi="ar-SA"/>
        </w:rPr>
        <w:t>21</w:t>
      </w:r>
      <w:r>
        <w:rPr>
          <w:rFonts w:ascii="Calibri" w:hAnsi="Calibri"/>
          <w:sz w:val="20"/>
          <w:szCs w:val="20"/>
        </w:rPr>
        <w:t xml:space="preserve"> almeno 24</w:t>
      </w:r>
      <w:r>
        <w:rPr>
          <w:rFonts w:eastAsia="Times New Roman" w:cs="Times New Roman" w:ascii="Calibri" w:hAnsi="Calibri"/>
          <w:sz w:val="20"/>
          <w:szCs w:val="20"/>
          <w:lang w:eastAsia="it-IT"/>
        </w:rPr>
        <w:t xml:space="preserve"> mesi </w:t>
      </w:r>
      <w:r>
        <w:rPr>
          <w:rFonts w:ascii="Calibri" w:hAnsi="Calibri"/>
          <w:sz w:val="20"/>
          <w:szCs w:val="20"/>
        </w:rPr>
        <w:t xml:space="preserve">di servizio nella posizione giuridica ed economica di appartenenza; </w:t>
      </w:r>
    </w:p>
    <w:p>
      <w:pPr>
        <w:pStyle w:val="Normal"/>
        <w:jc w:val="both"/>
        <w:rPr>
          <w:rFonts w:ascii="Calibri" w:hAnsi="Calibri"/>
          <w:sz w:val="20"/>
          <w:szCs w:val="20"/>
        </w:rPr>
      </w:pPr>
      <w:r>
        <w:rPr>
          <w:rFonts w:ascii="Calibri" w:hAnsi="Calibri"/>
          <w:sz w:val="20"/>
          <w:szCs w:val="20"/>
        </w:rPr>
        <w:t>g) di non</w:t>
      </w:r>
      <w:r>
        <w:rPr>
          <w:rFonts w:eastAsia="Times New Roman" w:cs="Times New Roman" w:ascii="Calibri" w:hAnsi="Calibri"/>
          <w:color w:val="auto"/>
          <w:kern w:val="0"/>
          <w:sz w:val="20"/>
          <w:szCs w:val="20"/>
          <w:lang w:val="it-IT" w:eastAsia="it-IT" w:bidi="ar-SA"/>
        </w:rPr>
        <w:t xml:space="preserve"> essere incorso ovvero di essere incorso, nel biennio precedente (2020/2021) all’anno di riferimento per l’indizione delle PEO - anno 2022 - in sanzioni disciplinari superiori ad un giorno di sospensione dal servizio e in misure cautelari di sospensione dal servizio, a meno che il procedimento penale pendente non si sia concluso con l’assoluzione almeno in primo grado;</w:t>
      </w:r>
    </w:p>
    <w:p>
      <w:pPr>
        <w:pStyle w:val="Normal"/>
        <w:jc w:val="both"/>
        <w:rPr>
          <w:rFonts w:ascii="Calibri" w:hAnsi="Calibri"/>
          <w:sz w:val="20"/>
          <w:szCs w:val="20"/>
        </w:rPr>
      </w:pPr>
      <w:r>
        <w:rPr>
          <w:rFonts w:ascii="Calibri" w:hAnsi="Calibri"/>
          <w:sz w:val="20"/>
          <w:szCs w:val="20"/>
        </w:rPr>
        <w:t xml:space="preserve">h) titoli valutabili (arricchimento professionale, titoli culturali e professionali, formazione certificata e pertinente, esperienza lavorativa acquisita, </w:t>
      </w:r>
      <w:r>
        <w:rPr>
          <w:rFonts w:eastAsia="Times New Roman" w:cs="Times New Roman" w:ascii="Calibri" w:hAnsi="Calibri"/>
          <w:color w:val="auto"/>
          <w:kern w:val="0"/>
          <w:sz w:val="20"/>
          <w:szCs w:val="20"/>
          <w:lang w:val="it-IT" w:eastAsia="it-IT" w:bidi="ar-SA"/>
        </w:rPr>
        <w:t>punteggio</w:t>
      </w:r>
      <w:r>
        <w:rPr>
          <w:rFonts w:ascii="Calibri" w:hAnsi="Calibri"/>
          <w:sz w:val="20"/>
          <w:szCs w:val="20"/>
        </w:rPr>
        <w:t xml:space="preserve"> ottenuto nelle schede di valutazione delle performance, titoli di precedenza a parità di punteggio);</w:t>
      </w:r>
    </w:p>
    <w:p>
      <w:pPr>
        <w:pStyle w:val="Default"/>
        <w:jc w:val="both"/>
        <w:rPr>
          <w:rFonts w:ascii="Calibri" w:hAnsi="Calibri"/>
          <w:sz w:val="20"/>
          <w:szCs w:val="20"/>
        </w:rPr>
      </w:pPr>
      <w:r>
        <w:rPr>
          <w:rFonts w:ascii="Calibri" w:hAnsi="Calibri"/>
          <w:sz w:val="20"/>
          <w:szCs w:val="20"/>
        </w:rPr>
        <w:t xml:space="preserve">i) </w:t>
      </w:r>
      <w:r>
        <w:rPr>
          <w:rFonts w:eastAsia="Times New Roman" w:cs="Times New Roman" w:ascii="Calibri" w:hAnsi="Calibri"/>
          <w:color w:val="auto"/>
          <w:sz w:val="20"/>
          <w:szCs w:val="20"/>
          <w:lang w:eastAsia="it-IT"/>
        </w:rPr>
        <w:t xml:space="preserve">il domicilio presso il quale dovranno essere fatte, ad ogni effetto le necessarie comunicazioni, il recapito telefonico e l’indirizzo Pec e/o e E-mail; </w:t>
      </w:r>
    </w:p>
    <w:p>
      <w:pPr>
        <w:pStyle w:val="Default"/>
        <w:spacing w:before="0" w:after="14"/>
        <w:jc w:val="both"/>
        <w:rPr>
          <w:rFonts w:ascii="Calibri" w:hAnsi="Calibri"/>
          <w:sz w:val="20"/>
          <w:szCs w:val="20"/>
        </w:rPr>
      </w:pPr>
      <w:r>
        <w:rPr>
          <w:rFonts w:eastAsia="Times New Roman" w:cs="Times New Roman" w:ascii="Calibri" w:hAnsi="Calibri"/>
          <w:color w:val="auto"/>
          <w:sz w:val="20"/>
          <w:szCs w:val="20"/>
          <w:lang w:eastAsia="it-IT"/>
        </w:rPr>
        <w:t xml:space="preserve">l) l’autorizzazione al trattamento dei dati personali, ai sensi e per gli effetti di cui al D. Lgs. n° 196/2003 – Reg. Eu 679/2016 - D.lgs 101/2018; </w:t>
      </w:r>
    </w:p>
    <w:p>
      <w:pPr>
        <w:pStyle w:val="Default"/>
        <w:jc w:val="both"/>
        <w:rPr>
          <w:rFonts w:ascii="Calibri" w:hAnsi="Calibri"/>
          <w:sz w:val="20"/>
          <w:szCs w:val="20"/>
        </w:rPr>
      </w:pPr>
      <w:r>
        <w:rPr>
          <w:rFonts w:eastAsia="Times New Roman" w:cs="Times New Roman" w:ascii="Calibri" w:hAnsi="Calibri"/>
          <w:color w:val="auto"/>
          <w:sz w:val="20"/>
          <w:szCs w:val="20"/>
          <w:lang w:eastAsia="it-IT"/>
        </w:rPr>
        <w:t>m) di accettare incondizionatamente le clausole previste dal presente bando di selezione.</w:t>
      </w:r>
    </w:p>
    <w:p>
      <w:pPr>
        <w:pStyle w:val="Normal"/>
        <w:jc w:val="both"/>
        <w:rPr/>
      </w:pPr>
      <w:r>
        <w:rPr>
          <w:rFonts w:ascii="Calibri" w:hAnsi="Calibri"/>
          <w:sz w:val="20"/>
          <w:szCs w:val="20"/>
        </w:rPr>
        <w:t xml:space="preserve">Le dichiarazioni rese e sottoscritte nella domanda di ammissione alla selezione si ritengono rilasciate ai sensi del D.P.R. n.445/2000. </w:t>
      </w:r>
    </w:p>
    <w:p>
      <w:pPr>
        <w:pStyle w:val="Normal"/>
        <w:jc w:val="both"/>
        <w:rPr>
          <w:rFonts w:ascii="Calibri" w:hAnsi="Calibri" w:eastAsia="Times New Roman" w:cs="Times New Roman"/>
          <w:b w:val="false"/>
          <w:b w:val="false"/>
          <w:bCs w:val="false"/>
          <w:color w:val="auto"/>
          <w:kern w:val="0"/>
          <w:sz w:val="20"/>
          <w:szCs w:val="20"/>
          <w:u w:val="none"/>
          <w:lang w:val="it-IT" w:eastAsia="it-IT" w:bidi="ar-SA"/>
        </w:rPr>
      </w:pPr>
      <w:r>
        <w:rPr>
          <w:rFonts w:eastAsia="Times New Roman" w:cs="Times New Roman" w:ascii="Calibri" w:hAnsi="Calibri"/>
          <w:b w:val="false"/>
          <w:bCs w:val="false"/>
          <w:color w:val="auto"/>
          <w:kern w:val="0"/>
          <w:sz w:val="20"/>
          <w:szCs w:val="20"/>
          <w:u w:val="none"/>
          <w:lang w:val="it-IT" w:eastAsia="it-IT" w:bidi="ar-SA"/>
        </w:rPr>
        <w:t>La domanda di partecipazione alla procedura deve essere obbligatoriamente compilata secondo la modulistica  allegata al bando di selezione.</w:t>
      </w:r>
    </w:p>
    <w:p>
      <w:pPr>
        <w:pStyle w:val="Normal"/>
        <w:jc w:val="both"/>
        <w:rPr>
          <w:rFonts w:ascii="Calibri" w:hAnsi="Calibri" w:eastAsia="Times New Roman" w:cs="Times New Roman"/>
          <w:b w:val="false"/>
          <w:b w:val="false"/>
          <w:bCs w:val="false"/>
          <w:color w:val="auto"/>
          <w:kern w:val="0"/>
          <w:sz w:val="20"/>
          <w:szCs w:val="20"/>
          <w:lang w:val="it-IT" w:eastAsia="it-IT" w:bidi="ar-SA"/>
        </w:rPr>
      </w:pPr>
      <w:r>
        <w:rPr>
          <w:rFonts w:eastAsia="Times New Roman" w:cs="Times New Roman" w:ascii="Calibri" w:hAnsi="Calibri"/>
          <w:b w:val="false"/>
          <w:bCs w:val="false"/>
          <w:color w:val="auto"/>
          <w:kern w:val="0"/>
          <w:sz w:val="20"/>
          <w:szCs w:val="20"/>
          <w:lang w:val="it-IT" w:eastAsia="it-IT" w:bidi="ar-SA"/>
        </w:rPr>
        <w:t xml:space="preserve">La Domanda di partecipazione deve essere sottoscritta dal candidato </w:t>
      </w:r>
      <w:r>
        <w:rPr>
          <w:rFonts w:eastAsia="Times New Roman" w:cs="Times New Roman" w:ascii="Calibri" w:hAnsi="Calibri"/>
          <w:b w:val="false"/>
          <w:bCs w:val="false"/>
          <w:color w:val="auto"/>
          <w:kern w:val="0"/>
          <w:sz w:val="20"/>
          <w:szCs w:val="20"/>
          <w:u w:val="single"/>
          <w:lang w:val="it-IT" w:eastAsia="it-IT" w:bidi="ar-SA"/>
        </w:rPr>
        <w:t>a pena di esclusione</w:t>
      </w:r>
      <w:r>
        <w:rPr>
          <w:rFonts w:eastAsia="Times New Roman" w:cs="Times New Roman" w:ascii="Calibri" w:hAnsi="Calibri"/>
          <w:b w:val="false"/>
          <w:bCs w:val="false"/>
          <w:color w:val="auto"/>
          <w:kern w:val="0"/>
          <w:sz w:val="20"/>
          <w:szCs w:val="20"/>
          <w:lang w:val="it-IT" w:eastAsia="it-IT" w:bidi="ar-SA"/>
        </w:rPr>
        <w:t>. La firma non è soggetta ad autenticazione. La domanda e gli eventuali allegati, se inoltrati via PEC, dovranno essere inviati in formato PDF.</w:t>
      </w:r>
    </w:p>
    <w:p>
      <w:pPr>
        <w:pStyle w:val="Default"/>
        <w:jc w:val="both"/>
        <w:rPr/>
      </w:pPr>
      <w:r>
        <w:rPr>
          <w:rFonts w:eastAsia="Times New Roman" w:cs="Times New Roman" w:ascii="Calibri" w:hAnsi="Calibri"/>
          <w:color w:val="auto"/>
          <w:sz w:val="20"/>
          <w:szCs w:val="20"/>
          <w:u w:val="single"/>
          <w:lang w:eastAsia="it-IT"/>
        </w:rPr>
        <w:t>Il candidato dovrà allegare alla domanda di partecipazione alla selezione fotocopia (fronte e retro) di un valido documento di identità o documento di riconoscimento equipollente ai sensi del D.P.R.445/2000, ai fini della validità dell’istanza di partecipazione e delle dichiarazioni sostitutive di certificazione e di atto notorio.</w:t>
      </w:r>
    </w:p>
    <w:p>
      <w:pPr>
        <w:pStyle w:val="Default"/>
        <w:jc w:val="both"/>
        <w:rPr/>
      </w:pPr>
      <w:r>
        <w:rPr>
          <w:rFonts w:eastAsia="Times New Roman" w:cs="Times New Roman" w:ascii="Calibri" w:hAnsi="Calibri"/>
          <w:color w:val="auto"/>
          <w:sz w:val="20"/>
          <w:szCs w:val="20"/>
          <w:lang w:eastAsia="it-IT"/>
        </w:rPr>
        <w:t xml:space="preserve">Qualora il candidato, ai fini della valutazione, volesse presentare </w:t>
      </w:r>
      <w:r>
        <w:rPr>
          <w:rFonts w:eastAsia="Times New Roman" w:cs="Times New Roman" w:ascii="Calibri" w:hAnsi="Calibri"/>
          <w:color w:val="auto"/>
          <w:kern w:val="0"/>
          <w:sz w:val="20"/>
          <w:szCs w:val="20"/>
          <w:lang w:val="it-IT" w:eastAsia="it-IT" w:bidi="ar-SA"/>
        </w:rPr>
        <w:t>copia della</w:t>
      </w:r>
      <w:r>
        <w:rPr>
          <w:rFonts w:eastAsia="Times New Roman" w:cs="Times New Roman" w:ascii="Calibri" w:hAnsi="Calibri"/>
          <w:color w:val="auto"/>
          <w:sz w:val="20"/>
          <w:szCs w:val="20"/>
          <w:lang w:eastAsia="it-IT"/>
        </w:rPr>
        <w:t xml:space="preserve"> documentazione dichiarata nella domanda di partecipazione, dovrà avvalersi de</w:t>
      </w:r>
      <w:r>
        <w:rPr>
          <w:rFonts w:eastAsia="Times New Roman" w:cs="Times New Roman" w:ascii="Calibri" w:hAnsi="Calibri"/>
          <w:b w:val="false"/>
          <w:bCs w:val="false"/>
          <w:color w:val="auto"/>
          <w:sz w:val="20"/>
          <w:szCs w:val="20"/>
          <w:lang w:eastAsia="it-IT"/>
        </w:rPr>
        <w:t>lla dichiarazione sostitutiva dell’atto di notorietà relativa alla conformità all’originale della copia, per certificar</w:t>
      </w:r>
      <w:r>
        <w:rPr>
          <w:rFonts w:eastAsia="Times New Roman" w:cs="Times New Roman" w:ascii="Calibri" w:hAnsi="Calibri"/>
          <w:color w:val="auto"/>
          <w:sz w:val="20"/>
          <w:szCs w:val="20"/>
          <w:lang w:eastAsia="it-IT"/>
        </w:rPr>
        <w:t>e che un documento, una pubblicazione o un titolo di studio è conforme all’originale (artt. 19 e 47 D.P.R. n° 445/2000).</w:t>
      </w:r>
    </w:p>
    <w:p>
      <w:pPr>
        <w:pStyle w:val="Normal"/>
        <w:jc w:val="both"/>
        <w:rPr/>
      </w:pPr>
      <w:r>
        <w:rPr>
          <w:rFonts w:ascii="Calibri" w:hAnsi="Calibri"/>
          <w:sz w:val="20"/>
          <w:szCs w:val="20"/>
        </w:rPr>
        <w:t xml:space="preserve">La Responsabile del procedimento, si riserva di verificare la veridicità delle dichiarazioni contenute nella domanda di partecipazione. </w:t>
      </w:r>
    </w:p>
    <w:p>
      <w:pPr>
        <w:pStyle w:val="Normal"/>
        <w:jc w:val="both"/>
        <w:rPr>
          <w:rFonts w:ascii="Calibri" w:hAnsi="Calibri"/>
          <w:b/>
          <w:b/>
          <w:sz w:val="20"/>
          <w:szCs w:val="20"/>
        </w:rPr>
      </w:pPr>
      <w:r>
        <w:rPr>
          <w:rFonts w:ascii="Calibri" w:hAnsi="Calibri"/>
          <w:b/>
          <w:sz w:val="20"/>
          <w:szCs w:val="20"/>
        </w:rPr>
      </w:r>
    </w:p>
    <w:p>
      <w:pPr>
        <w:pStyle w:val="Normal"/>
        <w:jc w:val="both"/>
        <w:rPr/>
      </w:pPr>
      <w:r>
        <w:rPr>
          <w:rFonts w:eastAsia="Times New Roman" w:cs="Times New Roman" w:ascii="Calibri" w:hAnsi="Calibri"/>
          <w:b/>
          <w:color w:val="auto"/>
          <w:kern w:val="0"/>
          <w:sz w:val="20"/>
          <w:szCs w:val="20"/>
          <w:lang w:val="it-IT" w:eastAsia="it-IT" w:bidi="ar-SA"/>
        </w:rPr>
        <w:t>7. APPROVAZIONE E VALIDITÀ DELLE GRADUATORIE</w:t>
      </w:r>
    </w:p>
    <w:p>
      <w:pPr>
        <w:pStyle w:val="Normal"/>
        <w:jc w:val="both"/>
        <w:rPr/>
      </w:pPr>
      <w:r>
        <w:rPr>
          <w:rFonts w:eastAsia="Times New Roman" w:cs="Times New Roman" w:ascii="Calibri" w:hAnsi="Calibri"/>
          <w:color w:val="auto"/>
          <w:kern w:val="0"/>
          <w:sz w:val="20"/>
          <w:szCs w:val="20"/>
          <w:lang w:val="it-IT" w:eastAsia="it-IT" w:bidi="ar-SA"/>
        </w:rPr>
        <w:t>Al termine della valutazione i candidati verranno inseriti in graduatorie distinte per Categoria.</w:t>
      </w:r>
    </w:p>
    <w:p>
      <w:pPr>
        <w:pStyle w:val="Normal"/>
        <w:jc w:val="both"/>
        <w:rPr>
          <w:rFonts w:ascii="Calibri" w:hAnsi="Calibri" w:eastAsia="Times New Roman" w:cs="Times New Roman"/>
          <w:color w:val="auto"/>
          <w:kern w:val="0"/>
          <w:sz w:val="20"/>
          <w:szCs w:val="20"/>
          <w:lang w:val="it-IT" w:eastAsia="it-IT" w:bidi="ar-SA"/>
        </w:rPr>
      </w:pPr>
      <w:r>
        <w:rPr>
          <w:rFonts w:eastAsia="Times New Roman" w:cs="Times New Roman" w:ascii="Calibri" w:hAnsi="Calibri"/>
          <w:color w:val="auto"/>
          <w:kern w:val="0"/>
          <w:sz w:val="20"/>
          <w:szCs w:val="20"/>
          <w:lang w:val="it-IT" w:eastAsia="it-IT" w:bidi="ar-SA"/>
        </w:rPr>
        <w:t>In caso di parità di merito si terrà conto dei seguenti requisiti di preferenza in ordine successivo:</w:t>
      </w:r>
    </w:p>
    <w:p>
      <w:pPr>
        <w:pStyle w:val="ListParagraph"/>
        <w:numPr>
          <w:ilvl w:val="0"/>
          <w:numId w:val="6"/>
        </w:numPr>
        <w:spacing w:before="0" w:after="0"/>
        <w:contextualSpacing/>
        <w:jc w:val="both"/>
        <w:rPr/>
      </w:pPr>
      <w:r>
        <w:rPr>
          <w:rFonts w:eastAsia="Times New Roman" w:cs="Times New Roman" w:ascii="Calibri" w:hAnsi="Calibri"/>
          <w:color w:val="auto"/>
          <w:kern w:val="0"/>
          <w:sz w:val="20"/>
          <w:szCs w:val="20"/>
          <w:lang w:val="it-IT" w:eastAsia="it-IT" w:bidi="ar-SA"/>
        </w:rPr>
        <w:t xml:space="preserve">Essere collocati nella fascia di merito dell’eccellenza nella valutazione della performance individuale, per tre anni consecutivi, ovvero per cinque annualità anche non consecutive. </w:t>
      </w:r>
    </w:p>
    <w:p>
      <w:pPr>
        <w:pStyle w:val="ListParagraph"/>
        <w:numPr>
          <w:ilvl w:val="0"/>
          <w:numId w:val="6"/>
        </w:numPr>
        <w:spacing w:before="0" w:after="0"/>
        <w:contextualSpacing/>
        <w:jc w:val="both"/>
        <w:rPr>
          <w:rFonts w:ascii="Calibri" w:hAnsi="Calibri" w:eastAsia="Times New Roman" w:cs="Times New Roman"/>
          <w:color w:val="auto"/>
          <w:kern w:val="0"/>
          <w:sz w:val="20"/>
          <w:szCs w:val="20"/>
          <w:lang w:val="it-IT" w:eastAsia="it-IT" w:bidi="ar-SA"/>
        </w:rPr>
      </w:pPr>
      <w:r>
        <w:rPr>
          <w:rFonts w:eastAsia="Times New Roman" w:cs="Times New Roman" w:ascii="Calibri" w:hAnsi="Calibri"/>
          <w:color w:val="auto"/>
          <w:kern w:val="0"/>
          <w:sz w:val="20"/>
          <w:szCs w:val="20"/>
          <w:lang w:val="it-IT" w:eastAsia="it-IT" w:bidi="ar-SA"/>
        </w:rPr>
        <w:t>Maggiore permanenza nella posizione economica di appartenenza;</w:t>
      </w:r>
    </w:p>
    <w:p>
      <w:pPr>
        <w:pStyle w:val="ListParagraph"/>
        <w:numPr>
          <w:ilvl w:val="0"/>
          <w:numId w:val="6"/>
        </w:numPr>
        <w:spacing w:before="0" w:after="0"/>
        <w:contextualSpacing/>
        <w:jc w:val="both"/>
        <w:rPr>
          <w:rFonts w:ascii="Calibri" w:hAnsi="Calibri" w:eastAsia="Times New Roman" w:cs="Times New Roman"/>
          <w:color w:val="auto"/>
          <w:kern w:val="0"/>
          <w:sz w:val="20"/>
          <w:szCs w:val="20"/>
          <w:lang w:val="it-IT" w:eastAsia="it-IT" w:bidi="ar-SA"/>
        </w:rPr>
      </w:pPr>
      <w:r>
        <w:rPr>
          <w:rFonts w:eastAsia="Times New Roman" w:cs="Times New Roman" w:ascii="Calibri" w:hAnsi="Calibri"/>
          <w:color w:val="auto"/>
          <w:kern w:val="0"/>
          <w:sz w:val="20"/>
          <w:szCs w:val="20"/>
          <w:lang w:val="it-IT" w:eastAsia="it-IT" w:bidi="ar-SA"/>
        </w:rPr>
        <w:t>Maggiore anzianità di servizio;</w:t>
      </w:r>
    </w:p>
    <w:p>
      <w:pPr>
        <w:pStyle w:val="ListParagraph"/>
        <w:numPr>
          <w:ilvl w:val="0"/>
          <w:numId w:val="6"/>
        </w:numPr>
        <w:spacing w:before="0" w:after="0"/>
        <w:contextualSpacing/>
        <w:jc w:val="both"/>
        <w:rPr>
          <w:rFonts w:ascii="Calibri" w:hAnsi="Calibri" w:eastAsia="Times New Roman" w:cs="Times New Roman"/>
          <w:color w:val="auto"/>
          <w:kern w:val="0"/>
          <w:sz w:val="20"/>
          <w:szCs w:val="20"/>
          <w:lang w:val="it-IT" w:eastAsia="it-IT" w:bidi="ar-SA"/>
        </w:rPr>
      </w:pPr>
      <w:r>
        <w:rPr>
          <w:rFonts w:eastAsia="Times New Roman" w:cs="Times New Roman" w:ascii="Calibri" w:hAnsi="Calibri"/>
          <w:color w:val="auto"/>
          <w:kern w:val="0"/>
          <w:sz w:val="20"/>
          <w:szCs w:val="20"/>
          <w:lang w:val="it-IT" w:eastAsia="it-IT" w:bidi="ar-SA"/>
        </w:rPr>
        <w:t>Maggiore anzianità anagrafica del dipendente.</w:t>
      </w:r>
    </w:p>
    <w:p>
      <w:pPr>
        <w:pStyle w:val="Normal"/>
        <w:jc w:val="both"/>
        <w:rPr>
          <w:rFonts w:ascii="Calibri" w:hAnsi="Calibri"/>
          <w:sz w:val="20"/>
          <w:szCs w:val="20"/>
        </w:rPr>
      </w:pPr>
      <w:r>
        <w:rPr>
          <w:rFonts w:eastAsia="Times New Roman" w:cs="Times New Roman" w:ascii="Calibri" w:hAnsi="Calibri"/>
          <w:color w:val="auto"/>
          <w:kern w:val="0"/>
          <w:sz w:val="20"/>
          <w:szCs w:val="20"/>
          <w:lang w:val="it-IT" w:eastAsia="it-IT" w:bidi="ar-SA"/>
        </w:rPr>
        <w:t>La progressione economica orizzontale, secondo quanto concordato e stipulato con CDI per l’anno 2022, verrà attribuita al 45% dei dipendenti utilmente collocati all’interno di ogni categoria, nei limiti delle risorse stanziate e con precedenza delle categorie più basse. Gli eventuali resti saranno attribuiti assegnando un’ulteriore PEO per categoria, anche qui dando precedenza alla categoria più bassa.</w:t>
      </w:r>
    </w:p>
    <w:p>
      <w:pPr>
        <w:pStyle w:val="Normal"/>
        <w:jc w:val="both"/>
        <w:rPr>
          <w:rFonts w:ascii="Calibri" w:hAnsi="Calibri"/>
          <w:sz w:val="20"/>
          <w:szCs w:val="20"/>
        </w:rPr>
      </w:pPr>
      <w:r>
        <w:rPr>
          <w:rFonts w:eastAsia="Times New Roman" w:cs="Times New Roman" w:ascii="Calibri" w:hAnsi="Calibri"/>
          <w:color w:val="auto"/>
          <w:kern w:val="0"/>
          <w:sz w:val="20"/>
          <w:szCs w:val="20"/>
          <w:lang w:val="it-IT" w:eastAsia="it-IT" w:bidi="ar-SA"/>
        </w:rPr>
        <w:t>La Commissione Esaminatrice provvederà a redigere le graduatorie provvisorie le quali vengono pubblicate all’albo on line dell’Ente, nella sezione Concorsi del sito istituzionale e nella sezione amministrazione trasparente.</w:t>
      </w:r>
    </w:p>
    <w:p>
      <w:pPr>
        <w:pStyle w:val="Normal"/>
        <w:jc w:val="both"/>
        <w:rPr>
          <w:rFonts w:ascii="Calibri" w:hAnsi="Calibri"/>
          <w:sz w:val="20"/>
          <w:szCs w:val="20"/>
        </w:rPr>
      </w:pPr>
      <w:r>
        <w:rPr>
          <w:rFonts w:eastAsia="Times New Roman" w:cs="Times New Roman" w:ascii="Calibri" w:hAnsi="Calibri"/>
          <w:b w:val="false"/>
          <w:bCs w:val="false"/>
          <w:color w:val="auto"/>
          <w:kern w:val="0"/>
          <w:sz w:val="20"/>
          <w:szCs w:val="20"/>
          <w:lang w:val="it-IT" w:eastAsia="it-IT" w:bidi="ar-SA"/>
        </w:rPr>
        <w:t>Entro dieci giorni lavorativi dalla pubblicazione delle graduatorie provvisorie, il dipendente, in relazione ai punteggi attribuiti dalla Commissione, potrà presentare motivata istanza di riesame al Segretario generale, il quale dovrà decidere entro cinque giorni dal ricevimento dell’istanza.</w:t>
      </w:r>
    </w:p>
    <w:p>
      <w:pPr>
        <w:pStyle w:val="Normal"/>
        <w:jc w:val="both"/>
        <w:rPr>
          <w:rFonts w:ascii="Calibri" w:hAnsi="Calibri"/>
          <w:sz w:val="20"/>
          <w:szCs w:val="20"/>
        </w:rPr>
      </w:pPr>
      <w:r>
        <w:rPr>
          <w:rFonts w:eastAsia="Times New Roman" w:cs="Times New Roman" w:ascii="Calibri" w:hAnsi="Calibri"/>
          <w:b w:val="false"/>
          <w:bCs w:val="false"/>
          <w:color w:val="auto"/>
          <w:kern w:val="0"/>
          <w:sz w:val="20"/>
          <w:szCs w:val="20"/>
          <w:lang w:val="it-IT" w:eastAsia="it-IT" w:bidi="ar-SA"/>
        </w:rPr>
        <w:t xml:space="preserve">La Commissione, in assenza o a seguito dell’accoglimento di eventuali richieste di riesame, procederà alla redazione della graduatoria definitiva di merito e </w:t>
      </w:r>
      <w:r>
        <w:rPr>
          <w:rFonts w:eastAsia="Times New Roman" w:cs="Times New Roman" w:ascii="Calibri" w:hAnsi="Calibri"/>
          <w:b w:val="false"/>
          <w:bCs w:val="false"/>
          <w:color w:val="000000"/>
          <w:kern w:val="0"/>
          <w:sz w:val="20"/>
          <w:szCs w:val="20"/>
          <w:lang w:val="it-IT" w:eastAsia="it-IT" w:bidi="ar-SA"/>
        </w:rPr>
        <w:t>successivamente alla trasmissione di tutta la documentazione inerente la procedura di selezione all’ufficio gestione risorse umane per i provvedimenti di competenza.</w:t>
      </w:r>
    </w:p>
    <w:p>
      <w:pPr>
        <w:pStyle w:val="Normal"/>
        <w:jc w:val="both"/>
        <w:rPr/>
      </w:pPr>
      <w:r>
        <w:rPr>
          <w:rFonts w:eastAsia="Times New Roman" w:cs="Times New Roman" w:ascii="Calibri" w:hAnsi="Calibri"/>
          <w:b w:val="false"/>
          <w:bCs w:val="false"/>
          <w:color w:val="auto"/>
          <w:kern w:val="0"/>
          <w:sz w:val="20"/>
          <w:szCs w:val="20"/>
          <w:lang w:val="it-IT" w:eastAsia="it-IT" w:bidi="ar-SA"/>
        </w:rPr>
        <w:t xml:space="preserve">Con Determinazione del Servizio Personale vengono approvati gli atti delle selezioni e le </w:t>
      </w:r>
      <w:r>
        <w:rPr>
          <w:rFonts w:eastAsia="Times New Roman" w:cs="Times New Roman" w:ascii="Calibri" w:hAnsi="Calibri"/>
          <w:color w:val="auto"/>
          <w:kern w:val="0"/>
          <w:sz w:val="20"/>
          <w:szCs w:val="20"/>
          <w:lang w:val="it-IT" w:eastAsia="it-IT" w:bidi="ar-SA"/>
        </w:rPr>
        <w:t>graduatorie di merito, e vengono, altresì, dichiarati i vincitori, sulla base del posto utile occupato in graduatoria e delle somme stanziate per la P. E. O.</w:t>
      </w:r>
    </w:p>
    <w:p>
      <w:pPr>
        <w:pStyle w:val="Normal"/>
        <w:jc w:val="both"/>
        <w:rPr/>
      </w:pPr>
      <w:r>
        <w:rPr>
          <w:rFonts w:eastAsia="Times New Roman" w:cs="Times New Roman" w:ascii="Calibri" w:hAnsi="Calibri"/>
          <w:color w:val="auto"/>
          <w:kern w:val="0"/>
          <w:sz w:val="20"/>
          <w:szCs w:val="20"/>
          <w:lang w:val="it-IT" w:eastAsia="it-IT" w:bidi="ar-SA"/>
        </w:rPr>
        <w:t xml:space="preserve">Le graduatorie vengono affisse all’albo </w:t>
      </w:r>
      <w:r>
        <w:rPr>
          <w:rFonts w:eastAsia="Times New Roman" w:cs="Times New Roman" w:ascii="Calibri" w:hAnsi="Calibri"/>
          <w:i/>
          <w:iCs/>
          <w:color w:val="auto"/>
          <w:kern w:val="0"/>
          <w:sz w:val="20"/>
          <w:szCs w:val="20"/>
          <w:lang w:val="it-IT" w:eastAsia="it-IT" w:bidi="ar-SA"/>
        </w:rPr>
        <w:t>online</w:t>
      </w:r>
      <w:r>
        <w:rPr>
          <w:rFonts w:eastAsia="Times New Roman" w:cs="Times New Roman" w:ascii="Calibri" w:hAnsi="Calibri"/>
          <w:color w:val="auto"/>
          <w:kern w:val="0"/>
          <w:sz w:val="20"/>
          <w:szCs w:val="20"/>
          <w:lang w:val="it-IT" w:eastAsia="it-IT" w:bidi="ar-SA"/>
        </w:rPr>
        <w:t xml:space="preserve"> dell’Ente, nella sezione Concorsi del sito istituzionale dell’Ente e nella apposita sezione di Amministrazione trasparente.</w:t>
      </w:r>
    </w:p>
    <w:p>
      <w:pPr>
        <w:pStyle w:val="Normal"/>
        <w:jc w:val="both"/>
        <w:rPr>
          <w:rFonts w:ascii="Calibri" w:hAnsi="Calibri" w:eastAsia="Times New Roman" w:cs="Times New Roman"/>
          <w:color w:val="auto"/>
          <w:kern w:val="0"/>
          <w:sz w:val="20"/>
          <w:szCs w:val="20"/>
          <w:lang w:val="it-IT" w:eastAsia="it-IT" w:bidi="ar-SA"/>
        </w:rPr>
      </w:pPr>
      <w:r>
        <w:rPr>
          <w:rFonts w:eastAsia="Times New Roman" w:cs="Times New Roman" w:ascii="Calibri" w:hAnsi="Calibri"/>
          <w:color w:val="auto"/>
          <w:kern w:val="0"/>
          <w:sz w:val="20"/>
          <w:szCs w:val="20"/>
          <w:lang w:val="it-IT" w:eastAsia="it-IT" w:bidi="ar-SA"/>
        </w:rPr>
        <w:t>Dalla data di affissione decorrono i termini per eventuali impugnative.</w:t>
      </w:r>
    </w:p>
    <w:p>
      <w:pPr>
        <w:pStyle w:val="Normal"/>
        <w:jc w:val="both"/>
        <w:rPr>
          <w:rFonts w:ascii="Calibri" w:hAnsi="Calibri"/>
          <w:sz w:val="20"/>
          <w:szCs w:val="20"/>
        </w:rPr>
      </w:pPr>
      <w:r>
        <w:rPr>
          <w:rFonts w:ascii="Calibri" w:hAnsi="Calibri"/>
          <w:sz w:val="20"/>
          <w:szCs w:val="20"/>
        </w:rPr>
      </w:r>
    </w:p>
    <w:p>
      <w:pPr>
        <w:pStyle w:val="Normal"/>
        <w:jc w:val="both"/>
        <w:rPr>
          <w:rFonts w:ascii="Calibri" w:hAnsi="Calibri" w:eastAsia="Times New Roman" w:cs="Times New Roman"/>
          <w:color w:val="auto"/>
          <w:kern w:val="0"/>
          <w:sz w:val="20"/>
          <w:szCs w:val="20"/>
          <w:lang w:val="it-IT" w:eastAsia="it-IT" w:bidi="ar-SA"/>
        </w:rPr>
      </w:pPr>
      <w:r>
        <w:rPr>
          <w:rFonts w:eastAsia="Times New Roman" w:cs="Times New Roman" w:ascii="Calibri" w:hAnsi="Calibri"/>
          <w:color w:val="auto"/>
          <w:kern w:val="0"/>
          <w:sz w:val="20"/>
          <w:szCs w:val="20"/>
          <w:lang w:val="it-IT" w:eastAsia="it-IT" w:bidi="ar-SA"/>
        </w:rPr>
        <w:t xml:space="preserve">Le graduatorie potranno essere utilizzate solo per la procedura selettiva par l’attribuzione della progressione economica orizzontale all’interno della categoria prevista per l’anno 2022 ed esaurirà i sui effetti con la sua conclusione. </w:t>
      </w:r>
    </w:p>
    <w:p>
      <w:pPr>
        <w:pStyle w:val="Normal"/>
        <w:jc w:val="both"/>
        <w:rPr>
          <w:rFonts w:ascii="Calibri" w:hAnsi="Calibri"/>
          <w:b/>
          <w:b/>
          <w:sz w:val="20"/>
          <w:szCs w:val="20"/>
        </w:rPr>
      </w:pPr>
      <w:r>
        <w:rPr>
          <w:rFonts w:ascii="Calibri" w:hAnsi="Calibri"/>
          <w:b/>
          <w:sz w:val="20"/>
          <w:szCs w:val="20"/>
        </w:rPr>
      </w:r>
    </w:p>
    <w:p>
      <w:pPr>
        <w:pStyle w:val="Normal"/>
        <w:jc w:val="both"/>
        <w:rPr/>
      </w:pPr>
      <w:r>
        <w:rPr>
          <w:rFonts w:ascii="Calibri" w:hAnsi="Calibri"/>
          <w:b/>
          <w:sz w:val="20"/>
          <w:szCs w:val="20"/>
        </w:rPr>
        <w:t xml:space="preserve">8. AVVERTENZE GENERALI E TRATTAMENTO DEI DATI PERSONALI </w:t>
      </w:r>
    </w:p>
    <w:p>
      <w:pPr>
        <w:pStyle w:val="Normal"/>
        <w:jc w:val="both"/>
        <w:rPr/>
      </w:pPr>
      <w:r>
        <w:rPr>
          <w:rFonts w:eastAsia="Times New Roman" w:cs="Times New Roman" w:ascii="Calibri" w:hAnsi="Calibri"/>
          <w:color w:val="auto"/>
          <w:kern w:val="0"/>
          <w:sz w:val="20"/>
          <w:szCs w:val="20"/>
          <w:lang w:val="it-IT" w:eastAsia="it-IT" w:bidi="ar-SA"/>
        </w:rPr>
        <w:t>Il Comune di Sant’Antioco</w:t>
      </w:r>
      <w:r>
        <w:rPr>
          <w:rFonts w:ascii="Calibri" w:hAnsi="Calibri"/>
          <w:sz w:val="20"/>
          <w:szCs w:val="20"/>
        </w:rPr>
        <w:t xml:space="preserve"> si riserva di modificare, prorogare o eventualmente revocare il presente avviso a suo insindacabile giudizio. </w:t>
      </w:r>
    </w:p>
    <w:p>
      <w:pPr>
        <w:pStyle w:val="Normal"/>
        <w:jc w:val="both"/>
        <w:rPr>
          <w:rFonts w:ascii="Calibri" w:hAnsi="Calibri"/>
          <w:sz w:val="20"/>
          <w:szCs w:val="20"/>
        </w:rPr>
      </w:pPr>
      <w:r>
        <w:rPr>
          <w:rFonts w:ascii="Calibri" w:hAnsi="Calibri"/>
          <w:sz w:val="20"/>
          <w:szCs w:val="20"/>
        </w:rPr>
        <w:t xml:space="preserve">Il presente avviso di Selezione costituisce Lex specialis e, pertanto, la partecipazione comporta l’accettazione implicita senza riserva alcuna di tutte le disposizioni ivi contenute. </w:t>
      </w:r>
    </w:p>
    <w:p>
      <w:pPr>
        <w:pStyle w:val="Normal"/>
        <w:jc w:val="both"/>
        <w:rPr>
          <w:rFonts w:ascii="Calibri" w:hAnsi="Calibri"/>
          <w:sz w:val="20"/>
          <w:szCs w:val="20"/>
        </w:rPr>
      </w:pPr>
      <w:r>
        <w:rPr>
          <w:rFonts w:ascii="Calibri" w:hAnsi="Calibri"/>
          <w:sz w:val="20"/>
          <w:szCs w:val="20"/>
        </w:rPr>
        <w:t>Ai sensi di quanto previsto d</w:t>
      </w:r>
      <w:r>
        <w:rPr>
          <w:rFonts w:eastAsia="Times New Roman" w:cs="Times New Roman" w:ascii="Calibri" w:hAnsi="Calibri"/>
          <w:color w:val="auto"/>
          <w:sz w:val="20"/>
          <w:szCs w:val="20"/>
          <w:lang w:eastAsia="it-IT"/>
        </w:rPr>
        <w:t>al D. Lgs. n° 196/2003 – Reg. Eu 679/2016 - D.lgs 101/2018,</w:t>
      </w:r>
      <w:r>
        <w:rPr>
          <w:rFonts w:ascii="Calibri" w:hAnsi="Calibri"/>
          <w:sz w:val="20"/>
          <w:szCs w:val="20"/>
        </w:rPr>
        <w:t xml:space="preserve"> i dati contenuti nelle domande e nei documenti alle stesse allegati saranno utilizzati esclusivamente ai fini della gestione della procedura selettiva, nel rispetto ed in applicazione delle disposizioni normative vigenti in materia. </w:t>
      </w:r>
    </w:p>
    <w:p>
      <w:pPr>
        <w:pStyle w:val="Normal"/>
        <w:jc w:val="both"/>
        <w:rPr>
          <w:rFonts w:ascii="Calibri" w:hAnsi="Calibri"/>
          <w:sz w:val="20"/>
          <w:szCs w:val="20"/>
        </w:rPr>
      </w:pPr>
      <w:r>
        <w:rPr>
          <w:rFonts w:ascii="Calibri" w:hAnsi="Calibri"/>
          <w:sz w:val="20"/>
          <w:szCs w:val="20"/>
        </w:rPr>
        <w:t xml:space="preserve">Il candidato, con la presentazione dell’istanza di partecipazione alla selezione di cui al presente avviso, autorizza implicitamente il trattamento dei propri dati. </w:t>
      </w:r>
    </w:p>
    <w:p>
      <w:pPr>
        <w:pStyle w:val="Normal"/>
        <w:jc w:val="both"/>
        <w:rPr>
          <w:rFonts w:ascii="Calibri" w:hAnsi="Calibri"/>
          <w:sz w:val="20"/>
          <w:szCs w:val="20"/>
        </w:rPr>
      </w:pPr>
      <w:r>
        <w:rPr>
          <w:rFonts w:ascii="Calibri" w:hAnsi="Calibri"/>
          <w:sz w:val="20"/>
          <w:szCs w:val="20"/>
        </w:rPr>
        <w:t xml:space="preserve">Titolare del trattamento è il Comune di Sant’Antioco  nella persona del Sindaco </w:t>
      </w:r>
      <w:r>
        <w:rPr>
          <w:rFonts w:ascii="Calibri" w:hAnsi="Calibri"/>
          <w:i/>
          <w:iCs/>
          <w:sz w:val="20"/>
          <w:szCs w:val="20"/>
        </w:rPr>
        <w:t>pro tempore</w:t>
      </w:r>
      <w:r>
        <w:rPr>
          <w:rFonts w:ascii="Calibri" w:hAnsi="Calibri"/>
          <w:sz w:val="20"/>
          <w:szCs w:val="20"/>
        </w:rPr>
        <w:t xml:space="preserve">. </w:t>
      </w:r>
    </w:p>
    <w:p>
      <w:pPr>
        <w:pStyle w:val="Normal"/>
        <w:jc w:val="both"/>
        <w:rPr>
          <w:rFonts w:ascii="Calibri" w:hAnsi="Calibri"/>
          <w:b/>
          <w:b/>
          <w:sz w:val="20"/>
          <w:szCs w:val="20"/>
        </w:rPr>
      </w:pPr>
      <w:r>
        <w:rPr>
          <w:rFonts w:ascii="Calibri" w:hAnsi="Calibri"/>
          <w:b/>
          <w:sz w:val="20"/>
          <w:szCs w:val="20"/>
        </w:rPr>
      </w:r>
    </w:p>
    <w:p>
      <w:pPr>
        <w:pStyle w:val="Normal"/>
        <w:jc w:val="both"/>
        <w:rPr>
          <w:rFonts w:ascii="Calibri" w:hAnsi="Calibri"/>
          <w:sz w:val="20"/>
          <w:szCs w:val="20"/>
        </w:rPr>
      </w:pPr>
      <w:r>
        <w:rPr>
          <w:rFonts w:ascii="Calibri" w:hAnsi="Calibri"/>
          <w:b/>
          <w:sz w:val="20"/>
          <w:szCs w:val="20"/>
        </w:rPr>
        <w:t>9. RESPONSABILE DEL PROCEDIMENTO</w:t>
      </w:r>
      <w:r>
        <w:rPr>
          <w:rFonts w:ascii="Calibri" w:hAnsi="Calibri"/>
          <w:sz w:val="20"/>
          <w:szCs w:val="20"/>
        </w:rPr>
        <w:t xml:space="preserve"> </w:t>
      </w:r>
    </w:p>
    <w:p>
      <w:pPr>
        <w:pStyle w:val="Normal"/>
        <w:jc w:val="both"/>
        <w:rPr>
          <w:rFonts w:ascii="Calibri" w:hAnsi="Calibri"/>
          <w:sz w:val="20"/>
          <w:szCs w:val="20"/>
        </w:rPr>
      </w:pPr>
      <w:r>
        <w:rPr>
          <w:rFonts w:ascii="Calibri" w:hAnsi="Calibri"/>
          <w:sz w:val="20"/>
          <w:szCs w:val="20"/>
        </w:rPr>
        <w:t xml:space="preserve">Ai sensi della legge 7 agosto 1990, n. 241 e ss mm e ii, responsabile del procedimento di cui al presente bando è la  </w:t>
      </w:r>
      <w:r>
        <w:rPr>
          <w:rFonts w:eastAsia="Times New Roman" w:cs="Times New Roman" w:ascii="Calibri" w:hAnsi="Calibri"/>
          <w:color w:val="auto"/>
          <w:kern w:val="0"/>
          <w:sz w:val="20"/>
          <w:szCs w:val="20"/>
          <w:lang w:val="it-IT" w:eastAsia="it-IT" w:bidi="ar-SA"/>
        </w:rPr>
        <w:t>Responsabile del Servizio Gestione Risorse Umane</w:t>
      </w:r>
      <w:r>
        <w:rPr>
          <w:rFonts w:ascii="Calibri" w:hAnsi="Calibri"/>
          <w:sz w:val="20"/>
          <w:szCs w:val="20"/>
        </w:rPr>
        <w:t xml:space="preserve"> Dott.ssa Beatrice Lai</w:t>
      </w:r>
      <w:r>
        <w:rPr>
          <w:rFonts w:eastAsia="Times New Roman" w:cs="Times New Roman" w:ascii="Calibri" w:hAnsi="Calibri"/>
          <w:color w:val="auto"/>
          <w:kern w:val="0"/>
          <w:sz w:val="20"/>
          <w:szCs w:val="20"/>
          <w:lang w:val="it-IT" w:eastAsia="it-IT" w:bidi="ar-SA"/>
        </w:rPr>
        <w:t>.</w:t>
      </w:r>
    </w:p>
    <w:p>
      <w:pPr>
        <w:pStyle w:val="Normal"/>
        <w:jc w:val="both"/>
        <w:rPr>
          <w:rFonts w:ascii="Calibri" w:hAnsi="Calibri"/>
          <w:sz w:val="20"/>
          <w:szCs w:val="20"/>
        </w:rPr>
      </w:pPr>
      <w:r>
        <w:rPr>
          <w:rFonts w:ascii="Calibri" w:hAnsi="Calibri"/>
          <w:sz w:val="20"/>
          <w:szCs w:val="20"/>
        </w:rPr>
      </w:r>
    </w:p>
    <w:p>
      <w:pPr>
        <w:pStyle w:val="Normal"/>
        <w:jc w:val="both"/>
        <w:rPr>
          <w:rFonts w:ascii="Calibri" w:hAnsi="Calibri"/>
          <w:sz w:val="20"/>
          <w:szCs w:val="20"/>
        </w:rPr>
      </w:pPr>
      <w:r>
        <w:rPr>
          <w:rFonts w:ascii="Calibri" w:hAnsi="Calibri"/>
          <w:b/>
          <w:sz w:val="20"/>
          <w:szCs w:val="20"/>
        </w:rPr>
        <w:t>10. NORME FINALI</w:t>
      </w:r>
      <w:r>
        <w:rPr>
          <w:rFonts w:ascii="Calibri" w:hAnsi="Calibri"/>
          <w:sz w:val="20"/>
          <w:szCs w:val="20"/>
        </w:rPr>
        <w:t xml:space="preserve"> </w:t>
      </w:r>
    </w:p>
    <w:p>
      <w:pPr>
        <w:pStyle w:val="Normal"/>
        <w:jc w:val="both"/>
        <w:rPr>
          <w:rFonts w:ascii="Calibri" w:hAnsi="Calibri"/>
          <w:sz w:val="20"/>
          <w:szCs w:val="20"/>
        </w:rPr>
      </w:pPr>
      <w:r>
        <w:rPr>
          <w:rFonts w:ascii="Calibri" w:hAnsi="Calibri"/>
          <w:sz w:val="20"/>
          <w:szCs w:val="20"/>
        </w:rPr>
        <w:t xml:space="preserve">Per tutto e per quanto non espressamente disciplinato nel presente avviso, si rinvia a quanto contenuto nel “REGOLAMENTO PER LA PROGRESSIONE ECONOMICA ORIZZONTALE”, nei contratti decentrati integrativi dell’Ente e alla normativa vigente in materia. </w:t>
      </w:r>
    </w:p>
    <w:p>
      <w:pPr>
        <w:pStyle w:val="Normal"/>
        <w:rPr>
          <w:rFonts w:ascii="Calibri" w:hAnsi="Calibri"/>
          <w:sz w:val="20"/>
          <w:szCs w:val="20"/>
        </w:rPr>
      </w:pPr>
      <w:r>
        <w:rPr>
          <w:rFonts w:ascii="Calibri" w:hAnsi="Calibri"/>
          <w:sz w:val="20"/>
          <w:szCs w:val="20"/>
        </w:rPr>
      </w:r>
    </w:p>
    <w:p>
      <w:pPr>
        <w:pStyle w:val="Normal"/>
        <w:jc w:val="both"/>
        <w:rPr>
          <w:rFonts w:ascii="Calibri" w:hAnsi="Calibri"/>
          <w:sz w:val="20"/>
          <w:szCs w:val="20"/>
        </w:rPr>
      </w:pPr>
      <w:r>
        <w:rPr>
          <w:rFonts w:ascii="Calibri" w:hAnsi="Calibri"/>
          <w:sz w:val="20"/>
          <w:szCs w:val="20"/>
        </w:rPr>
        <w:t>Il presente avviso viene pubblicato all’Albo Pretorio online, nella sezione amministrazione trasparente – Bandi di Concorso e sul sito Internet Istituzionale del Comune di Sant’Antioco sezione “Concorsi”.</w:t>
      </w:r>
    </w:p>
    <w:p>
      <w:pPr>
        <w:pStyle w:val="Normal"/>
        <w:jc w:val="both"/>
        <w:rPr/>
      </w:pPr>
      <w:r>
        <w:rPr>
          <w:rFonts w:ascii="Calibri" w:hAnsi="Calibri"/>
          <w:b w:val="false"/>
          <w:bCs w:val="false"/>
          <w:sz w:val="20"/>
          <w:szCs w:val="20"/>
        </w:rPr>
        <w:t>Sant’Antioco, li</w:t>
      </w:r>
      <w:r>
        <w:rPr>
          <w:rFonts w:eastAsia="Times New Roman" w:cs="Times New Roman" w:ascii="Calibri" w:hAnsi="Calibri"/>
          <w:b w:val="false"/>
          <w:bCs w:val="false"/>
          <w:sz w:val="20"/>
          <w:szCs w:val="20"/>
          <w:lang w:eastAsia="it-IT"/>
        </w:rPr>
        <w:t xml:space="preserve"> XX </w:t>
      </w:r>
      <w:r>
        <w:rPr>
          <w:rFonts w:eastAsia="Times New Roman" w:cs="Times New Roman" w:ascii="Calibri" w:hAnsi="Calibri"/>
          <w:b w:val="false"/>
          <w:bCs w:val="false"/>
          <w:color w:val="auto"/>
          <w:kern w:val="0"/>
          <w:sz w:val="20"/>
          <w:szCs w:val="20"/>
          <w:lang w:val="it-IT" w:eastAsia="it-IT" w:bidi="ar-SA"/>
        </w:rPr>
        <w:t>XXXXXXX</w:t>
      </w:r>
      <w:r>
        <w:rPr>
          <w:rFonts w:eastAsia="Times New Roman" w:cs="Times New Roman" w:ascii="Calibri" w:hAnsi="Calibri"/>
          <w:b w:val="false"/>
          <w:bCs w:val="false"/>
          <w:sz w:val="20"/>
          <w:szCs w:val="20"/>
          <w:lang w:eastAsia="it-IT"/>
        </w:rPr>
        <w:t xml:space="preserve"> 2023</w:t>
      </w:r>
    </w:p>
    <w:p>
      <w:pPr>
        <w:pStyle w:val="Normal"/>
        <w:jc w:val="both"/>
        <w:rPr>
          <w:rFonts w:ascii="Calibri" w:hAnsi="Calibri"/>
          <w:sz w:val="20"/>
          <w:szCs w:val="20"/>
        </w:rPr>
      </w:pPr>
      <w:r>
        <w:rPr>
          <w:rFonts w:ascii="Calibri" w:hAnsi="Calibri"/>
          <w:sz w:val="20"/>
          <w:szCs w:val="20"/>
        </w:rPr>
      </w:r>
    </w:p>
    <w:p>
      <w:pPr>
        <w:pStyle w:val="Normal"/>
        <w:jc w:val="both"/>
        <w:rPr>
          <w:rFonts w:ascii="Calibri" w:hAnsi="Calibri"/>
          <w:sz w:val="20"/>
          <w:szCs w:val="20"/>
        </w:rPr>
      </w:pPr>
      <w:r>
        <w:rPr>
          <w:rFonts w:ascii="Calibri" w:hAnsi="Calibri"/>
          <w:sz w:val="20"/>
          <w:szCs w:val="20"/>
        </w:rPr>
        <w:tab/>
        <w:tab/>
        <w:tab/>
        <w:tab/>
        <w:tab/>
        <w:tab/>
        <w:t xml:space="preserve"> </w:t>
        <w:tab/>
      </w:r>
      <w:r>
        <w:rPr>
          <w:rFonts w:ascii="Calibri" w:hAnsi="Calibri"/>
          <w:b w:val="false"/>
          <w:bCs w:val="false"/>
          <w:sz w:val="20"/>
          <w:szCs w:val="20"/>
        </w:rPr>
        <w:t xml:space="preserve"> </w:t>
      </w:r>
      <w:r>
        <w:rPr>
          <w:rFonts w:eastAsia="Times New Roman" w:cs="Times New Roman" w:ascii="Calibri" w:hAnsi="Calibri"/>
          <w:b w:val="false"/>
          <w:bCs w:val="false"/>
          <w:color w:val="auto"/>
          <w:kern w:val="0"/>
          <w:sz w:val="20"/>
          <w:szCs w:val="20"/>
          <w:lang w:val="it-IT" w:eastAsia="it-IT" w:bidi="ar-SA"/>
        </w:rPr>
        <w:t>La Responsabile del Servizio Gestione Risorse Umane</w:t>
      </w:r>
    </w:p>
    <w:p>
      <w:pPr>
        <w:pStyle w:val="Normal"/>
        <w:jc w:val="both"/>
        <w:rPr/>
      </w:pPr>
      <w:r>
        <w:rPr>
          <w:rFonts w:eastAsia="Times New Roman" w:cs="Times New Roman" w:ascii="Calibri" w:hAnsi="Calibri"/>
          <w:b w:val="false"/>
          <w:bCs w:val="false"/>
          <w:color w:val="auto"/>
          <w:kern w:val="0"/>
          <w:sz w:val="20"/>
          <w:szCs w:val="20"/>
          <w:lang w:val="it-IT" w:eastAsia="it-IT" w:bidi="ar-SA"/>
        </w:rPr>
        <w:tab/>
        <w:tab/>
        <w:tab/>
        <w:tab/>
        <w:tab/>
        <w:tab/>
        <w:tab/>
        <w:tab/>
        <w:tab/>
        <w:t>Dott.ssa Beatrice Lai</w:t>
      </w:r>
    </w:p>
    <w:p>
      <w:pPr>
        <w:pStyle w:val="Normal"/>
        <w:jc w:val="both"/>
        <w:rPr>
          <w:rFonts w:ascii="Calibri" w:hAnsi="Calibri" w:eastAsia="Times New Roman" w:cs="Times New Roman"/>
          <w:b w:val="false"/>
          <w:b w:val="false"/>
          <w:bCs w:val="false"/>
          <w:color w:val="auto"/>
          <w:kern w:val="0"/>
          <w:sz w:val="20"/>
          <w:szCs w:val="20"/>
          <w:lang w:val="it-IT" w:eastAsia="it-IT" w:bidi="ar-SA"/>
        </w:rPr>
      </w:pPr>
      <w:r>
        <w:rPr/>
      </w:r>
    </w:p>
    <w:sectPr>
      <w:headerReference w:type="default" r:id="rId4"/>
      <w:footerReference w:type="default" r:id="rId5"/>
      <w:type w:val="nextPage"/>
      <w:pgSz w:w="11906" w:h="16838"/>
      <w:pgMar w:left="1134" w:right="1134" w:header="708" w:top="1417" w:footer="1134" w:bottom="1648"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Arial">
    <w:charset w:val="00"/>
    <w:family w:val="roman"/>
    <w:pitch w:val="variable"/>
  </w:font>
  <w:font w:name="Courier New">
    <w:charset w:val="01"/>
    <w:family w:val="modern"/>
    <w:pitch w:val="fixed"/>
  </w:font>
  <w:font w:name="Wingdings">
    <w:charset w:val="02"/>
    <w:family w:val="auto"/>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center"/>
      <w:rPr/>
    </w:pPr>
    <w:r>
      <w:drawing>
        <wp:anchor behindDoc="1" distT="0" distB="0" distL="0" distR="0" simplePos="0" locked="0" layoutInCell="1" allowOverlap="1" relativeHeight="11">
          <wp:simplePos x="0" y="0"/>
          <wp:positionH relativeFrom="column">
            <wp:posOffset>245110</wp:posOffset>
          </wp:positionH>
          <wp:positionV relativeFrom="paragraph">
            <wp:posOffset>2540</wp:posOffset>
          </wp:positionV>
          <wp:extent cx="612140" cy="803910"/>
          <wp:effectExtent l="0" t="0" r="0" b="0"/>
          <wp:wrapNone/>
          <wp:docPr id="1" name="Immagine2" descr="Logo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2" descr="LogoNew"/>
                  <pic:cNvPicPr>
                    <a:picLocks noChangeAspect="1" noChangeArrowheads="1"/>
                  </pic:cNvPicPr>
                </pic:nvPicPr>
                <pic:blipFill>
                  <a:blip r:embed="rId1"/>
                  <a:stretch>
                    <a:fillRect/>
                  </a:stretch>
                </pic:blipFill>
                <pic:spPr bwMode="auto">
                  <a:xfrm>
                    <a:off x="0" y="0"/>
                    <a:ext cx="612140" cy="803910"/>
                  </a:xfrm>
                  <a:prstGeom prst="rect">
                    <a:avLst/>
                  </a:prstGeom>
                </pic:spPr>
              </pic:pic>
            </a:graphicData>
          </a:graphic>
        </wp:anchor>
      </w:drawing>
    </w:r>
    <w:r>
      <w:rPr>
        <w:rFonts w:ascii="Calibri" w:hAnsi="Calibri"/>
        <w:color w:val="808080"/>
        <w:sz w:val="56"/>
        <w:szCs w:val="40"/>
      </w:rPr>
      <w:t>C</w:t>
    </w:r>
    <w:r>
      <w:rPr>
        <w:rFonts w:ascii="Calibri" w:hAnsi="Calibri"/>
        <w:sz w:val="48"/>
        <w:szCs w:val="40"/>
      </w:rPr>
      <w:t>omune</w:t>
    </w:r>
    <w:r>
      <w:rPr>
        <w:rFonts w:ascii="Calibri" w:hAnsi="Calibri"/>
        <w:sz w:val="36"/>
        <w:szCs w:val="40"/>
      </w:rPr>
      <w:t xml:space="preserve"> </w:t>
    </w:r>
    <w:r>
      <w:rPr>
        <w:rFonts w:ascii="Calibri" w:hAnsi="Calibri"/>
        <w:sz w:val="48"/>
        <w:szCs w:val="52"/>
      </w:rPr>
      <w:t>di</w:t>
    </w:r>
    <w:r>
      <w:rPr>
        <w:rFonts w:ascii="Calibri" w:hAnsi="Calibri"/>
        <w:sz w:val="36"/>
        <w:szCs w:val="40"/>
      </w:rPr>
      <w:t xml:space="preserve"> </w:t>
    </w:r>
    <w:r>
      <w:rPr>
        <w:rFonts w:ascii="Calibri" w:hAnsi="Calibri"/>
        <w:color w:val="808080"/>
        <w:sz w:val="56"/>
        <w:szCs w:val="72"/>
      </w:rPr>
      <w:t>S</w:t>
    </w:r>
    <w:r>
      <w:rPr>
        <w:rFonts w:ascii="Calibri" w:hAnsi="Calibri"/>
        <w:sz w:val="48"/>
        <w:szCs w:val="40"/>
      </w:rPr>
      <w:t>ant’</w:t>
    </w:r>
    <w:r>
      <w:rPr>
        <w:rFonts w:ascii="Calibri" w:hAnsi="Calibri"/>
        <w:color w:val="808080"/>
        <w:sz w:val="56"/>
        <w:szCs w:val="72"/>
      </w:rPr>
      <w:t>A</w:t>
    </w:r>
    <w:r>
      <w:rPr>
        <w:rFonts w:ascii="Calibri" w:hAnsi="Calibri"/>
        <w:sz w:val="48"/>
        <w:szCs w:val="40"/>
      </w:rPr>
      <w:t>ntioco</w:t>
    </w:r>
    <w:r>
      <w:rPr>
        <w:rFonts w:ascii="Calibri" w:hAnsi="Calibri"/>
        <w:sz w:val="36"/>
        <w:szCs w:val="40"/>
      </w:rPr>
      <w:tab/>
    </w:r>
  </w:p>
  <w:p>
    <w:pPr>
      <w:pStyle w:val="Normal"/>
      <w:jc w:val="center"/>
      <w:rPr/>
    </w:pPr>
    <w:r>
      <w:rPr>
        <w:rFonts w:ascii="Calibri" w:hAnsi="Calibri"/>
        <w:i/>
        <w:color w:val="808080"/>
        <w:sz w:val="40"/>
        <w:szCs w:val="32"/>
      </w:rPr>
      <w:t>P</w:t>
    </w:r>
    <w:r>
      <w:rPr>
        <w:rFonts w:ascii="Calibri" w:hAnsi="Calibri"/>
        <w:sz w:val="28"/>
        <w:szCs w:val="32"/>
      </w:rPr>
      <w:t xml:space="preserve">rovincia del </w:t>
    </w:r>
    <w:r>
      <w:rPr>
        <w:rFonts w:ascii="Calibri" w:hAnsi="Calibri"/>
        <w:i/>
        <w:color w:val="808080"/>
        <w:sz w:val="40"/>
        <w:szCs w:val="32"/>
      </w:rPr>
      <w:t>S</w:t>
    </w:r>
    <w:r>
      <w:rPr>
        <w:rFonts w:ascii="Calibri" w:hAnsi="Calibri"/>
        <w:sz w:val="28"/>
        <w:szCs w:val="32"/>
      </w:rPr>
      <w:t>ud</w:t>
    </w:r>
    <w:r>
      <w:rPr>
        <w:rFonts w:cs="Calibri" w:ascii="Calibri" w:hAnsi="Calibri"/>
        <w:i/>
        <w:szCs w:val="32"/>
      </w:rPr>
      <w:t xml:space="preserve"> </w:t>
    </w:r>
    <w:r>
      <w:rPr>
        <w:rFonts w:ascii="Calibri" w:hAnsi="Calibri"/>
        <w:i/>
        <w:color w:val="808080"/>
        <w:sz w:val="40"/>
        <w:szCs w:val="32"/>
      </w:rPr>
      <w:t>S</w:t>
    </w:r>
    <w:r>
      <w:rPr>
        <w:rFonts w:ascii="Calibri" w:hAnsi="Calibri"/>
        <w:sz w:val="28"/>
        <w:szCs w:val="32"/>
      </w:rPr>
      <w:t>ardegna</w:t>
    </w:r>
  </w:p>
  <w:p>
    <w:pPr>
      <w:pStyle w:val="Normal"/>
      <w:jc w:val="center"/>
      <w:rPr>
        <w:rFonts w:ascii="Calibri" w:hAnsi="Calibri"/>
        <w:sz w:val="28"/>
        <w:szCs w:val="32"/>
      </w:rPr>
    </w:pPr>
    <w:r>
      <w:rPr>
        <w:rFonts w:ascii="Calibri" w:hAnsi="Calibri"/>
        <w:sz w:val="28"/>
        <w:szCs w:val="32"/>
      </w:rPr>
    </w:r>
  </w:p>
  <w:p>
    <w:pPr>
      <w:pStyle w:val="Normal"/>
      <w:jc w:val="center"/>
      <w:rPr>
        <w:rFonts w:ascii="Calibri" w:hAnsi="Calibri"/>
        <w:sz w:val="28"/>
        <w:szCs w:val="32"/>
      </w:rPr>
    </w:pPr>
    <w:r>
      <w:rPr>
        <w:rFonts w:ascii="Calibri" w:hAnsi="Calibri"/>
        <w:sz w:val="28"/>
        <w:szCs w:val="32"/>
      </w:rPr>
      <w:t>Servizio Finanziario – Gestione Risorse Umane</w:t>
    </w:r>
  </w:p>
  <w:p>
    <w:pPr>
      <w:pStyle w:val="Normal"/>
      <w:jc w:val="center"/>
      <w:rPr>
        <w:rFonts w:ascii="Calibri" w:hAnsi="Calibri"/>
        <w:sz w:val="32"/>
        <w:szCs w:val="32"/>
      </w:rPr>
    </w:pPr>
    <w:r>
      <w:rPr>
        <w:rFonts w:ascii="Calibri" w:hAnsi="Calibri"/>
        <w:sz w:val="32"/>
        <w:szCs w:val="32"/>
      </w:rPr>
      <w:t>_________________________________________</w:t>
    </w:r>
  </w:p>
  <w:p>
    <w:pPr>
      <w:pStyle w:val="Intestazione"/>
      <w:rPr/>
    </w:pPr>
    <w:r>
      <w:rPr/>
    </w:r>
  </w:p>
  <w:p>
    <w:pPr>
      <w:pStyle w:val="Intestazion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1060"/>
        </w:tabs>
        <w:ind w:left="1060" w:hanging="360"/>
      </w:pPr>
      <w:rPr>
        <w:rFonts w:ascii="Symbol" w:hAnsi="Symbol" w:cs="Symbol" w:hint="default"/>
      </w:rPr>
    </w:lvl>
    <w:lvl w:ilvl="1">
      <w:start w:val="1"/>
      <w:numFmt w:val="bullet"/>
      <w:lvlText w:val="◦"/>
      <w:lvlJc w:val="left"/>
      <w:pPr>
        <w:tabs>
          <w:tab w:val="num" w:pos="1420"/>
        </w:tabs>
        <w:ind w:left="1420" w:hanging="360"/>
      </w:pPr>
      <w:rPr>
        <w:rFonts w:ascii="OpenSymbol" w:hAnsi="OpenSymbol" w:cs="OpenSymbol" w:hint="default"/>
      </w:rPr>
    </w:lvl>
    <w:lvl w:ilvl="2">
      <w:start w:val="1"/>
      <w:numFmt w:val="bullet"/>
      <w:lvlText w:val="▪"/>
      <w:lvlJc w:val="left"/>
      <w:pPr>
        <w:tabs>
          <w:tab w:val="num" w:pos="1780"/>
        </w:tabs>
        <w:ind w:left="1780" w:hanging="360"/>
      </w:pPr>
      <w:rPr>
        <w:rFonts w:ascii="OpenSymbol" w:hAnsi="OpenSymbol" w:cs="OpenSymbol" w:hint="default"/>
      </w:rPr>
    </w:lvl>
    <w:lvl w:ilvl="3">
      <w:start w:val="1"/>
      <w:numFmt w:val="bullet"/>
      <w:lvlText w:val=""/>
      <w:lvlJc w:val="left"/>
      <w:pPr>
        <w:tabs>
          <w:tab w:val="num" w:pos="2140"/>
        </w:tabs>
        <w:ind w:left="2140" w:hanging="360"/>
      </w:pPr>
      <w:rPr>
        <w:rFonts w:ascii="Symbol" w:hAnsi="Symbol" w:cs="Symbol" w:hint="default"/>
      </w:rPr>
    </w:lvl>
    <w:lvl w:ilvl="4">
      <w:start w:val="1"/>
      <w:numFmt w:val="bullet"/>
      <w:lvlText w:val="◦"/>
      <w:lvlJc w:val="left"/>
      <w:pPr>
        <w:tabs>
          <w:tab w:val="num" w:pos="2500"/>
        </w:tabs>
        <w:ind w:left="2500" w:hanging="360"/>
      </w:pPr>
      <w:rPr>
        <w:rFonts w:ascii="OpenSymbol" w:hAnsi="OpenSymbol" w:cs="OpenSymbol" w:hint="default"/>
      </w:rPr>
    </w:lvl>
    <w:lvl w:ilvl="5">
      <w:start w:val="1"/>
      <w:numFmt w:val="bullet"/>
      <w:lvlText w:val="▪"/>
      <w:lvlJc w:val="left"/>
      <w:pPr>
        <w:tabs>
          <w:tab w:val="num" w:pos="2860"/>
        </w:tabs>
        <w:ind w:left="2860" w:hanging="360"/>
      </w:pPr>
      <w:rPr>
        <w:rFonts w:ascii="OpenSymbol" w:hAnsi="OpenSymbol" w:cs="OpenSymbol" w:hint="default"/>
      </w:rPr>
    </w:lvl>
    <w:lvl w:ilvl="6">
      <w:start w:val="1"/>
      <w:numFmt w:val="bullet"/>
      <w:lvlText w:val=""/>
      <w:lvlJc w:val="left"/>
      <w:pPr>
        <w:tabs>
          <w:tab w:val="num" w:pos="3220"/>
        </w:tabs>
        <w:ind w:left="3220" w:hanging="360"/>
      </w:pPr>
      <w:rPr>
        <w:rFonts w:ascii="Symbol" w:hAnsi="Symbol" w:cs="Symbol" w:hint="default"/>
      </w:rPr>
    </w:lvl>
    <w:lvl w:ilvl="7">
      <w:start w:val="1"/>
      <w:numFmt w:val="bullet"/>
      <w:lvlText w:val="◦"/>
      <w:lvlJc w:val="left"/>
      <w:pPr>
        <w:tabs>
          <w:tab w:val="num" w:pos="3580"/>
        </w:tabs>
        <w:ind w:left="3580" w:hanging="360"/>
      </w:pPr>
      <w:rPr>
        <w:rFonts w:ascii="OpenSymbol" w:hAnsi="OpenSymbol" w:cs="OpenSymbol" w:hint="default"/>
      </w:rPr>
    </w:lvl>
    <w:lvl w:ilvl="8">
      <w:start w:val="1"/>
      <w:numFmt w:val="bullet"/>
      <w:lvlText w:val="▪"/>
      <w:lvlJc w:val="left"/>
      <w:pPr>
        <w:tabs>
          <w:tab w:val="num" w:pos="3940"/>
        </w:tabs>
        <w:ind w:left="3940" w:hanging="360"/>
      </w:pPr>
      <w:rPr>
        <w:rFonts w:ascii="OpenSymbol" w:hAnsi="OpenSymbol" w:cs="OpenSymbol" w:hint="default"/>
      </w:rPr>
    </w:lvl>
  </w:abstractNum>
  <w:abstractNum w:abstractNumId="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60"/>
  <w:defaultTabStop w:val="720"/>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Cs w:val="22"/>
        <w:lang w:val="it-IT" w:eastAsia="en-US" w:bidi="ar-SA"/>
      </w:rPr>
    </w:rPrDefault>
    <w:pPrDefault>
      <w:pPr>
        <w:suppressAutoHyphens w:val="true"/>
      </w:pPr>
    </w:pPrDefault>
  </w:docDefaults>
  <w:style w:type="paragraph" w:styleId="Normal">
    <w:name w:val="Normal"/>
    <w:qFormat/>
    <w:pPr>
      <w:widowControl/>
      <w:suppressAutoHyphens w:val="true"/>
      <w:overflowPunct w:val="true"/>
      <w:bidi w:val="0"/>
      <w:spacing w:lineRule="auto" w:line="240" w:before="0" w:after="0"/>
      <w:jc w:val="left"/>
    </w:pPr>
    <w:rPr>
      <w:rFonts w:ascii="Times New Roman" w:hAnsi="Times New Roman" w:eastAsia="Times New Roman" w:cs="Times New Roman"/>
      <w:color w:val="auto"/>
      <w:kern w:val="0"/>
      <w:sz w:val="20"/>
      <w:szCs w:val="20"/>
      <w:lang w:val="it-IT" w:eastAsia="it-IT" w:bidi="ar-SA"/>
    </w:rPr>
  </w:style>
  <w:style w:type="character" w:styleId="DefaultParagraphFont">
    <w:name w:val="Default Paragraph Font"/>
    <w:qFormat/>
    <w:rPr/>
  </w:style>
  <w:style w:type="character" w:styleId="IntestazioneCarattere">
    <w:name w:val="Intestazione Carattere"/>
    <w:basedOn w:val="DefaultParagraphFont"/>
    <w:qFormat/>
    <w:rPr>
      <w:rFonts w:ascii="Times New Roman" w:hAnsi="Times New Roman" w:eastAsia="Times New Roman" w:cs="Times New Roman"/>
      <w:sz w:val="20"/>
      <w:szCs w:val="20"/>
      <w:lang w:eastAsia="it-IT"/>
    </w:rPr>
  </w:style>
  <w:style w:type="character" w:styleId="PidipaginaCarattere">
    <w:name w:val="Piè di pagina Carattere"/>
    <w:basedOn w:val="DefaultParagraphFont"/>
    <w:qFormat/>
    <w:rPr>
      <w:rFonts w:ascii="Times New Roman" w:hAnsi="Times New Roman" w:eastAsia="Times New Roman" w:cs="Times New Roman"/>
      <w:sz w:val="20"/>
      <w:szCs w:val="20"/>
      <w:lang w:eastAsia="it-IT"/>
    </w:rPr>
  </w:style>
  <w:style w:type="character" w:styleId="Corpodeltesto2Carattere">
    <w:name w:val="Corpo del testo 2 Carattere"/>
    <w:basedOn w:val="DefaultParagraphFont"/>
    <w:qFormat/>
    <w:rPr>
      <w:rFonts w:ascii="Times New Roman" w:hAnsi="Times New Roman" w:eastAsia="Times New Roman" w:cs="Times New Roman"/>
      <w:sz w:val="20"/>
      <w:szCs w:val="20"/>
      <w:lang w:eastAsia="it-IT"/>
    </w:rPr>
  </w:style>
  <w:style w:type="character" w:styleId="RientrocorpodeltestoCarattere">
    <w:name w:val="Rientro corpo del testo Carattere"/>
    <w:basedOn w:val="DefaultParagraphFont"/>
    <w:qFormat/>
    <w:rPr>
      <w:rFonts w:ascii="Times New Roman" w:hAnsi="Times New Roman" w:eastAsia="Times New Roman" w:cs="Times New Roman"/>
      <w:sz w:val="20"/>
      <w:szCs w:val="20"/>
      <w:lang w:eastAsia="it-IT"/>
    </w:rPr>
  </w:style>
  <w:style w:type="character" w:styleId="CollegamentoInternet">
    <w:name w:val="Collegamento Internet"/>
    <w:basedOn w:val="DefaultParagraphFont"/>
    <w:rPr>
      <w:color w:val="0000FF"/>
      <w:u w:val="single"/>
    </w:rPr>
  </w:style>
  <w:style w:type="character" w:styleId="Punti">
    <w:name w:val="Punti"/>
    <w:qFormat/>
    <w:rPr>
      <w:rFonts w:ascii="OpenSymbol" w:hAnsi="OpenSymbol" w:eastAsia="OpenSymbol" w:cs="OpenSymbol"/>
    </w:rPr>
  </w:style>
  <w:style w:type="character" w:styleId="Caratteridinumerazione">
    <w:name w:val="Caratteri di numerazione"/>
    <w:qFormat/>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Intestazioneepidipagina">
    <w:name w:val="Intestazione e piè di pagina"/>
    <w:basedOn w:val="Normal"/>
    <w:qFormat/>
    <w:pPr/>
    <w:rPr/>
  </w:style>
  <w:style w:type="paragraph" w:styleId="Intestazione">
    <w:name w:val="Header"/>
    <w:basedOn w:val="Normal"/>
    <w:pPr>
      <w:tabs>
        <w:tab w:val="clear" w:pos="720"/>
        <w:tab w:val="center" w:pos="4819" w:leader="none"/>
        <w:tab w:val="right" w:pos="9638" w:leader="none"/>
      </w:tabs>
    </w:pPr>
    <w:rPr/>
  </w:style>
  <w:style w:type="paragraph" w:styleId="Pidipagina">
    <w:name w:val="Footer"/>
    <w:basedOn w:val="Normal"/>
    <w:pPr>
      <w:tabs>
        <w:tab w:val="clear" w:pos="720"/>
        <w:tab w:val="center" w:pos="4819" w:leader="none"/>
        <w:tab w:val="right" w:pos="9638" w:leader="none"/>
      </w:tabs>
    </w:pPr>
    <w:rPr/>
  </w:style>
  <w:style w:type="paragraph" w:styleId="BodyText2">
    <w:name w:val="Body Text 2"/>
    <w:basedOn w:val="Normal"/>
    <w:qFormat/>
    <w:pPr>
      <w:spacing w:lineRule="auto" w:line="480" w:before="0" w:after="120"/>
    </w:pPr>
    <w:rPr/>
  </w:style>
  <w:style w:type="paragraph" w:styleId="Rientrocorpodeltesto">
    <w:name w:val="Body Text Indent"/>
    <w:basedOn w:val="Normal"/>
    <w:pPr>
      <w:spacing w:before="0" w:after="120"/>
      <w:ind w:left="283" w:right="0" w:hanging="0"/>
    </w:pPr>
    <w:rPr/>
  </w:style>
  <w:style w:type="paragraph" w:styleId="ListParagraph">
    <w:name w:val="List Paragraph"/>
    <w:basedOn w:val="Normal"/>
    <w:qFormat/>
    <w:pPr>
      <w:spacing w:before="0" w:after="0"/>
      <w:ind w:left="720" w:right="0" w:hanging="0"/>
      <w:contextualSpacing/>
    </w:pPr>
    <w:rPr/>
  </w:style>
  <w:style w:type="paragraph" w:styleId="Default">
    <w:name w:val="Default"/>
    <w:qFormat/>
    <w:pPr>
      <w:widowControl/>
      <w:suppressAutoHyphens w:val="true"/>
      <w:overflowPunct w:val="true"/>
      <w:bidi w:val="0"/>
      <w:spacing w:lineRule="auto" w:line="240" w:before="0" w:after="0"/>
      <w:jc w:val="left"/>
    </w:pPr>
    <w:rPr>
      <w:rFonts w:ascii="Arial" w:hAnsi="Arial" w:eastAsia="Calibri" w:cs="Arial"/>
      <w:color w:val="000000"/>
      <w:kern w:val="0"/>
      <w:sz w:val="24"/>
      <w:szCs w:val="24"/>
      <w:lang w:val="it-IT" w:eastAsia="en-US" w:bidi="ar-SA"/>
    </w:rPr>
  </w:style>
  <w:style w:type="paragraph" w:styleId="Contenutotabella">
    <w:name w:val="Contenuto tabella"/>
    <w:basedOn w:val="Normal"/>
    <w:qFormat/>
    <w:pPr>
      <w:suppressLineNumbers/>
    </w:pPr>
    <w:rPr/>
  </w:style>
  <w:style w:type="numbering" w:styleId="NoList">
    <w:name w:val="No List"/>
    <w:qFormat/>
  </w:style>
  <w:style w:type="numbering" w:styleId="NumerazioneIVX">
    <w:name w:val="Numerazione IVX"/>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rotocollo@comune.santantioco.legalmail.it" TargetMode="External"/><Relationship Id="rId3" Type="http://schemas.openxmlformats.org/officeDocument/2006/relationships/hyperlink" Target="https://www.comune.santantioco.ca.it/"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docProps/app.xml><?xml version="1.0" encoding="utf-8"?>
<Properties xmlns="http://schemas.openxmlformats.org/officeDocument/2006/extended-properties" xmlns:vt="http://schemas.openxmlformats.org/officeDocument/2006/docPropsVTypes">
  <Template>Normal.dotm</Template>
  <TotalTime>1216</TotalTime>
  <Application>LibreOffice/6.4.7.2$Windows_X86_64 LibreOffice_project/639b8ac485750d5696d7590a72ef1b496725cfb5</Application>
  <Pages>10</Pages>
  <Words>4081</Words>
  <Characters>24344</Characters>
  <CharactersWithSpaces>28138</CharactersWithSpaces>
  <Paragraphs>368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2019-12-24T12:30:00Z</dcterms:created>
  <dc:creator>Deidda</dc:creator>
  <dc:description/>
  <dc:language>it-IT</dc:language>
  <cp:lastModifiedBy/>
  <cp:lastPrinted>2021-09-09T13:30:41Z</cp:lastPrinted>
  <dcterms:modified xsi:type="dcterms:W3CDTF">2023-05-04T10:28:23Z</dcterms:modified>
  <cp:revision>160</cp:revision>
  <dc:subject>Anni 2014-2016</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